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76" w:rsidRPr="00612B89" w:rsidRDefault="005509E0" w:rsidP="004171B1">
      <w:pPr>
        <w:spacing w:line="360" w:lineRule="auto"/>
        <w:jc w:val="center"/>
        <w:rPr>
          <w:rStyle w:val="lev"/>
          <w:rFonts w:ascii="Times New Roman" w:hAnsi="Times New Roman" w:cs="Times New Roman"/>
          <w:i/>
          <w:sz w:val="36"/>
          <w:szCs w:val="36"/>
        </w:rPr>
      </w:pPr>
      <w:r w:rsidRPr="00612B89">
        <w:rPr>
          <w:rStyle w:val="Accentuation"/>
          <w:rFonts w:ascii="Times New Roman" w:hAnsi="Times New Roman" w:cs="Times New Roman"/>
          <w:b/>
          <w:bCs/>
          <w:i w:val="0"/>
          <w:sz w:val="36"/>
          <w:szCs w:val="36"/>
        </w:rPr>
        <w:t>Programme MODEVAL-URBA, ADEME</w:t>
      </w:r>
    </w:p>
    <w:p w:rsidR="00B716B6" w:rsidRPr="00612B89" w:rsidRDefault="00B716B6" w:rsidP="00B716B6">
      <w:pPr>
        <w:spacing w:line="240" w:lineRule="auto"/>
        <w:jc w:val="center"/>
        <w:rPr>
          <w:rStyle w:val="lev"/>
          <w:rFonts w:ascii="Times New Roman" w:hAnsi="Times New Roman" w:cs="Times New Roman"/>
          <w:sz w:val="24"/>
          <w:szCs w:val="24"/>
        </w:rPr>
      </w:pPr>
      <w:r w:rsidRPr="00612B89">
        <w:rPr>
          <w:rStyle w:val="lev"/>
          <w:rFonts w:ascii="Times New Roman" w:hAnsi="Times New Roman" w:cs="Times New Roman"/>
          <w:bCs w:val="0"/>
          <w:iCs/>
          <w:sz w:val="24"/>
          <w:szCs w:val="24"/>
        </w:rPr>
        <w:t>NESTERR2</w:t>
      </w:r>
      <w:r w:rsidRPr="00612B89">
        <w:rPr>
          <w:rStyle w:val="lev"/>
          <w:rFonts w:ascii="Times New Roman" w:hAnsi="Times New Roman" w:cs="Times New Roman"/>
          <w:sz w:val="24"/>
          <w:szCs w:val="24"/>
        </w:rPr>
        <w:t xml:space="preserve">, </w:t>
      </w:r>
    </w:p>
    <w:p w:rsidR="00B716B6" w:rsidRPr="00612B89" w:rsidRDefault="003E4776" w:rsidP="00B716B6">
      <w:pPr>
        <w:spacing w:line="240" w:lineRule="auto"/>
        <w:jc w:val="center"/>
        <w:rPr>
          <w:rStyle w:val="lev"/>
          <w:rFonts w:ascii="Times New Roman" w:hAnsi="Times New Roman" w:cs="Times New Roman"/>
          <w:sz w:val="24"/>
          <w:szCs w:val="24"/>
        </w:rPr>
      </w:pPr>
      <w:r w:rsidRPr="00612B89">
        <w:rPr>
          <w:rStyle w:val="lev"/>
          <w:rFonts w:ascii="Times New Roman" w:hAnsi="Times New Roman" w:cs="Times New Roman"/>
          <w:sz w:val="24"/>
          <w:szCs w:val="24"/>
        </w:rPr>
        <w:t xml:space="preserve">Développement de l’outil d’évaluation de la durabilité urbaine NEST-TERR </w:t>
      </w:r>
    </w:p>
    <w:p w:rsidR="003E4776" w:rsidRPr="00612B89" w:rsidRDefault="00B716B6" w:rsidP="00B716B6">
      <w:pPr>
        <w:spacing w:line="240" w:lineRule="auto"/>
        <w:jc w:val="center"/>
        <w:rPr>
          <w:rStyle w:val="lev"/>
          <w:rFonts w:ascii="Times New Roman" w:hAnsi="Times New Roman" w:cs="Times New Roman"/>
          <w:sz w:val="24"/>
          <w:szCs w:val="24"/>
        </w:rPr>
      </w:pPr>
      <w:r w:rsidRPr="00612B89">
        <w:rPr>
          <w:rStyle w:val="lev"/>
          <w:rFonts w:ascii="Times New Roman" w:hAnsi="Times New Roman" w:cs="Times New Roman"/>
          <w:sz w:val="24"/>
          <w:szCs w:val="24"/>
        </w:rPr>
        <w:t>À</w:t>
      </w:r>
      <w:r w:rsidR="003E4776" w:rsidRPr="00612B89">
        <w:rPr>
          <w:rStyle w:val="lev"/>
          <w:rFonts w:ascii="Times New Roman" w:hAnsi="Times New Roman" w:cs="Times New Roman"/>
          <w:sz w:val="24"/>
          <w:szCs w:val="24"/>
        </w:rPr>
        <w:t xml:space="preserve"> l’échelle du territoire</w:t>
      </w:r>
      <w:r w:rsidR="000C2B32" w:rsidRPr="00612B89">
        <w:rPr>
          <w:rStyle w:val="lev"/>
          <w:rFonts w:ascii="Times New Roman" w:hAnsi="Times New Roman" w:cs="Times New Roman"/>
          <w:sz w:val="24"/>
          <w:szCs w:val="24"/>
        </w:rPr>
        <w:t>.</w:t>
      </w:r>
    </w:p>
    <w:p w:rsidR="003E4776" w:rsidRPr="00612B89" w:rsidRDefault="003E4776" w:rsidP="004171B1">
      <w:pPr>
        <w:spacing w:line="360" w:lineRule="auto"/>
        <w:jc w:val="center"/>
        <w:rPr>
          <w:rFonts w:ascii="Times New Roman" w:hAnsi="Times New Roman" w:cs="Times New Roman"/>
          <w:sz w:val="28"/>
          <w:szCs w:val="24"/>
        </w:rPr>
      </w:pPr>
    </w:p>
    <w:p w:rsidR="003E4776" w:rsidRPr="00612B89" w:rsidRDefault="0089598A" w:rsidP="004171B1">
      <w:pPr>
        <w:spacing w:line="360" w:lineRule="auto"/>
        <w:rPr>
          <w:rFonts w:ascii="Times New Roman" w:hAnsi="Times New Roman" w:cs="Times New Roman"/>
          <w:szCs w:val="20"/>
        </w:rPr>
      </w:pPr>
      <w:r w:rsidRPr="00612B89">
        <w:rPr>
          <w:rFonts w:ascii="Times New Roman" w:hAnsi="Times New Roman" w:cs="Times New Roman"/>
          <w:b/>
          <w:szCs w:val="20"/>
        </w:rPr>
        <w:t>Porteur du projet:</w:t>
      </w:r>
      <w:r w:rsidRPr="00612B89">
        <w:rPr>
          <w:rFonts w:ascii="Times New Roman" w:hAnsi="Times New Roman" w:cs="Times New Roman"/>
          <w:szCs w:val="20"/>
        </w:rPr>
        <w:t xml:space="preserve"> Centre Technologique NOBATEK</w:t>
      </w:r>
      <w:r w:rsidR="003E4776" w:rsidRPr="00612B89">
        <w:rPr>
          <w:rFonts w:ascii="Times New Roman" w:hAnsi="Times New Roman" w:cs="Times New Roman"/>
          <w:szCs w:val="20"/>
        </w:rPr>
        <w:t>.</w:t>
      </w:r>
    </w:p>
    <w:p w:rsidR="003E4776" w:rsidRPr="00612B89" w:rsidRDefault="0089598A" w:rsidP="004171B1">
      <w:pPr>
        <w:spacing w:line="360" w:lineRule="auto"/>
        <w:rPr>
          <w:rFonts w:ascii="Times New Roman" w:hAnsi="Times New Roman" w:cs="Times New Roman"/>
          <w:szCs w:val="20"/>
        </w:rPr>
      </w:pPr>
      <w:r w:rsidRPr="00612B89">
        <w:rPr>
          <w:rFonts w:ascii="Times New Roman" w:hAnsi="Times New Roman" w:cs="Times New Roman"/>
          <w:b/>
          <w:szCs w:val="20"/>
        </w:rPr>
        <w:t>Partenaires:</w:t>
      </w:r>
      <w:r w:rsidRPr="00612B89">
        <w:rPr>
          <w:rFonts w:ascii="Times New Roman" w:hAnsi="Times New Roman" w:cs="Times New Roman"/>
          <w:szCs w:val="20"/>
        </w:rPr>
        <w:t xml:space="preserve"> Emmanuel  Ballot, Emmanuel  Dufrasnes, Iryna Maznichenko, Cristiana Mazzoni, </w:t>
      </w:r>
      <w:r w:rsidR="00AD6ABC" w:rsidRPr="00612B89">
        <w:rPr>
          <w:rFonts w:ascii="Times New Roman" w:hAnsi="Times New Roman" w:cs="Times New Roman"/>
          <w:szCs w:val="20"/>
        </w:rPr>
        <w:t xml:space="preserve">Lise Lançon, </w:t>
      </w:r>
      <w:r w:rsidRPr="00612B89">
        <w:rPr>
          <w:rFonts w:ascii="Times New Roman" w:hAnsi="Times New Roman" w:cs="Times New Roman"/>
          <w:szCs w:val="20"/>
        </w:rPr>
        <w:t>en coopération avec Eric Chenderowsky, directeur de l’urbanisme de</w:t>
      </w:r>
      <w:r w:rsidR="003E4776" w:rsidRPr="00612B89">
        <w:rPr>
          <w:rFonts w:ascii="Times New Roman" w:hAnsi="Times New Roman" w:cs="Times New Roman"/>
          <w:szCs w:val="20"/>
        </w:rPr>
        <w:t xml:space="preserve"> l’Eurométropole de Strasbourg.</w:t>
      </w:r>
    </w:p>
    <w:p w:rsidR="000A08A6" w:rsidRPr="00612B89" w:rsidRDefault="0089598A" w:rsidP="000A08A6">
      <w:pPr>
        <w:spacing w:line="360" w:lineRule="auto"/>
        <w:rPr>
          <w:rFonts w:ascii="Times New Roman" w:hAnsi="Times New Roman" w:cs="Times New Roman"/>
          <w:szCs w:val="20"/>
        </w:rPr>
      </w:pPr>
      <w:r w:rsidRPr="00612B89">
        <w:rPr>
          <w:rFonts w:ascii="Times New Roman" w:hAnsi="Times New Roman" w:cs="Times New Roman"/>
          <w:b/>
          <w:szCs w:val="20"/>
        </w:rPr>
        <w:t>Financements:</w:t>
      </w:r>
      <w:r w:rsidRPr="00612B89">
        <w:rPr>
          <w:rFonts w:ascii="Times New Roman" w:hAnsi="Times New Roman" w:cs="Times New Roman"/>
          <w:szCs w:val="20"/>
        </w:rPr>
        <w:t xml:space="preserve"> ADEME, novembre 2015-novembre 2018.</w:t>
      </w:r>
    </w:p>
    <w:p w:rsidR="00DD4FDA" w:rsidRPr="00BC7988" w:rsidRDefault="00DD4FDA" w:rsidP="000A08A6">
      <w:pPr>
        <w:spacing w:line="360" w:lineRule="auto"/>
        <w:rPr>
          <w:rFonts w:ascii="Times New Roman" w:hAnsi="Times New Roman" w:cs="Times New Roman"/>
          <w:sz w:val="28"/>
          <w:szCs w:val="20"/>
        </w:rPr>
      </w:pPr>
    </w:p>
    <w:p w:rsidR="000A08A6" w:rsidRPr="00BC7988" w:rsidRDefault="00DD4FDA" w:rsidP="00DD4FDA">
      <w:pPr>
        <w:spacing w:line="360" w:lineRule="auto"/>
        <w:jc w:val="center"/>
        <w:rPr>
          <w:rFonts w:ascii="Times New Roman" w:hAnsi="Times New Roman" w:cs="Times New Roman"/>
          <w:b/>
          <w:sz w:val="28"/>
          <w:szCs w:val="20"/>
        </w:rPr>
      </w:pPr>
      <w:r w:rsidRPr="00BC7988">
        <w:rPr>
          <w:rFonts w:ascii="Times New Roman" w:hAnsi="Times New Roman" w:cs="Times New Roman"/>
          <w:b/>
          <w:sz w:val="28"/>
          <w:szCs w:val="20"/>
        </w:rPr>
        <w:t>Éléments de contexte</w:t>
      </w:r>
    </w:p>
    <w:p w:rsidR="00DD4FDA" w:rsidRPr="00612B89" w:rsidRDefault="00DD4FDA" w:rsidP="00DD4FDA">
      <w:pPr>
        <w:spacing w:line="360" w:lineRule="auto"/>
        <w:jc w:val="both"/>
        <w:rPr>
          <w:rFonts w:ascii="Times New Roman" w:hAnsi="Times New Roman" w:cs="Times New Roman"/>
          <w:i/>
          <w:szCs w:val="20"/>
        </w:rPr>
      </w:pPr>
      <w:r w:rsidRPr="00612B89">
        <w:rPr>
          <w:rFonts w:ascii="Times New Roman" w:hAnsi="Times New Roman" w:cs="Times New Roman"/>
          <w:b/>
          <w:i/>
          <w:szCs w:val="20"/>
        </w:rPr>
        <w:t>ACV :</w:t>
      </w:r>
      <w:r w:rsidRPr="00612B89">
        <w:rPr>
          <w:rFonts w:ascii="Times New Roman" w:hAnsi="Times New Roman" w:cs="Times New Roman"/>
          <w:i/>
          <w:szCs w:val="20"/>
        </w:rPr>
        <w:t xml:space="preserve"> L'analyse du cycle de vie (ACV) est une méthode d'évaluation normalisée (ISO 14040 et ISO 14044) permettant de réaliser un </w:t>
      </w:r>
      <w:hyperlink r:id="rId7" w:tooltip="Bilan environnemental" w:history="1">
        <w:r w:rsidRPr="00612B89">
          <w:rPr>
            <w:rFonts w:ascii="Times New Roman" w:hAnsi="Times New Roman" w:cs="Times New Roman"/>
            <w:i/>
            <w:szCs w:val="20"/>
          </w:rPr>
          <w:t>bilan environnemental</w:t>
        </w:r>
      </w:hyperlink>
      <w:r w:rsidRPr="00612B89">
        <w:rPr>
          <w:rFonts w:ascii="Times New Roman" w:hAnsi="Times New Roman" w:cs="Times New Roman"/>
          <w:i/>
          <w:szCs w:val="20"/>
        </w:rPr>
        <w:t xml:space="preserve"> multicritère et multi-étape d'un système (</w:t>
      </w:r>
      <w:hyperlink r:id="rId8" w:tooltip="Produit (économie)" w:history="1">
        <w:r w:rsidRPr="00612B89">
          <w:rPr>
            <w:rFonts w:ascii="Times New Roman" w:hAnsi="Times New Roman" w:cs="Times New Roman"/>
            <w:i/>
            <w:szCs w:val="20"/>
          </w:rPr>
          <w:t>produit</w:t>
        </w:r>
      </w:hyperlink>
      <w:r w:rsidRPr="00612B89">
        <w:rPr>
          <w:rFonts w:ascii="Times New Roman" w:hAnsi="Times New Roman" w:cs="Times New Roman"/>
          <w:i/>
          <w:szCs w:val="20"/>
        </w:rPr>
        <w:t xml:space="preserve">, </w:t>
      </w:r>
      <w:hyperlink r:id="rId9" w:tooltip="Service (économie)" w:history="1">
        <w:r w:rsidRPr="00612B89">
          <w:rPr>
            <w:rFonts w:ascii="Times New Roman" w:hAnsi="Times New Roman" w:cs="Times New Roman"/>
            <w:i/>
            <w:szCs w:val="20"/>
          </w:rPr>
          <w:t>service</w:t>
        </w:r>
      </w:hyperlink>
      <w:r w:rsidRPr="00612B89">
        <w:rPr>
          <w:rFonts w:ascii="Times New Roman" w:hAnsi="Times New Roman" w:cs="Times New Roman"/>
          <w:i/>
          <w:szCs w:val="20"/>
        </w:rPr>
        <w:t>, entreprise ou procédé) sur l'ensemble de son cycle de vie.</w:t>
      </w:r>
    </w:p>
    <w:p w:rsidR="00DD4FDA" w:rsidRPr="00DD4FDA" w:rsidRDefault="00DD4FDA" w:rsidP="00DD4FDA">
      <w:pPr>
        <w:spacing w:line="360" w:lineRule="auto"/>
        <w:jc w:val="both"/>
        <w:rPr>
          <w:rFonts w:ascii="Times New Roman" w:hAnsi="Times New Roman" w:cs="Times New Roman"/>
          <w:i/>
          <w:szCs w:val="20"/>
        </w:rPr>
      </w:pPr>
      <w:r w:rsidRPr="00DD4FDA">
        <w:rPr>
          <w:rFonts w:ascii="Times New Roman" w:hAnsi="Times New Roman" w:cs="Times New Roman"/>
          <w:i/>
          <w:szCs w:val="20"/>
        </w:rPr>
        <w:t xml:space="preserve">Son but, en suivant la logique de « cycle de vie », est de connaître et pouvoir comparer les impacts environnementaux d'un système tout au long de son cycle de vie, de l'extraction des </w:t>
      </w:r>
      <w:hyperlink r:id="rId10" w:tooltip="Matières premières" w:history="1">
        <w:r w:rsidRPr="00612B89">
          <w:rPr>
            <w:rFonts w:ascii="Times New Roman" w:hAnsi="Times New Roman" w:cs="Times New Roman"/>
            <w:i/>
            <w:szCs w:val="20"/>
          </w:rPr>
          <w:t>matières premières</w:t>
        </w:r>
      </w:hyperlink>
      <w:r w:rsidRPr="00DD4FDA">
        <w:rPr>
          <w:rFonts w:ascii="Times New Roman" w:hAnsi="Times New Roman" w:cs="Times New Roman"/>
          <w:i/>
          <w:szCs w:val="20"/>
        </w:rPr>
        <w:t xml:space="preserve"> nécessaires à sa fabrication à son traitement en fin de vie (mise en décharge, recyclage...) en passant par ses phases d'usage, d'entretien, et de transports.</w:t>
      </w:r>
    </w:p>
    <w:p w:rsidR="00DD4FDA" w:rsidRPr="00DD4FDA" w:rsidRDefault="00DD4FDA" w:rsidP="00DD4FDA">
      <w:pPr>
        <w:spacing w:line="360" w:lineRule="auto"/>
        <w:jc w:val="both"/>
        <w:rPr>
          <w:rFonts w:ascii="Times New Roman" w:hAnsi="Times New Roman" w:cs="Times New Roman"/>
          <w:i/>
          <w:szCs w:val="20"/>
        </w:rPr>
      </w:pPr>
      <w:r w:rsidRPr="00612B89">
        <w:rPr>
          <w:rFonts w:ascii="Times New Roman" w:hAnsi="Times New Roman" w:cs="Times New Roman"/>
          <w:i/>
          <w:szCs w:val="20"/>
        </w:rPr>
        <w:t>L'ACV permet ainsi </w:t>
      </w:r>
      <w:r w:rsidRPr="00DD4FDA">
        <w:rPr>
          <w:rFonts w:ascii="Times New Roman" w:hAnsi="Times New Roman" w:cs="Times New Roman"/>
          <w:i/>
          <w:szCs w:val="20"/>
        </w:rPr>
        <w:t>de quantifier les contributions aux impacts environnementaux d'un système (par étape de cycle de vie / par sous-système (composants, matériaux utilisés, procédés) afin d'en dégager des pistes d'</w:t>
      </w:r>
      <w:r w:rsidRPr="00612B89">
        <w:rPr>
          <w:rFonts w:ascii="Times New Roman" w:hAnsi="Times New Roman" w:cs="Times New Roman"/>
          <w:i/>
          <w:szCs w:val="20"/>
        </w:rPr>
        <w:t>écoconception</w:t>
      </w:r>
      <w:r w:rsidRPr="00DD4FDA">
        <w:rPr>
          <w:rFonts w:ascii="Times New Roman" w:hAnsi="Times New Roman" w:cs="Times New Roman"/>
          <w:i/>
          <w:szCs w:val="20"/>
        </w:rPr>
        <w:t xml:space="preserve"> ou d'amélioration du </w:t>
      </w:r>
      <w:r w:rsidRPr="00612B89">
        <w:rPr>
          <w:rFonts w:ascii="Times New Roman" w:hAnsi="Times New Roman" w:cs="Times New Roman"/>
          <w:i/>
          <w:szCs w:val="20"/>
        </w:rPr>
        <w:t xml:space="preserve">bilan environnemental du système ; et </w:t>
      </w:r>
      <w:r w:rsidRPr="00DD4FDA">
        <w:rPr>
          <w:rFonts w:ascii="Times New Roman" w:hAnsi="Times New Roman" w:cs="Times New Roman"/>
          <w:i/>
          <w:szCs w:val="20"/>
        </w:rPr>
        <w:t xml:space="preserve">de comparer du point de vue environnemental deux systèmes ayant la même fonction, à </w:t>
      </w:r>
      <w:r w:rsidRPr="00612B89">
        <w:rPr>
          <w:rFonts w:ascii="Times New Roman" w:hAnsi="Times New Roman" w:cs="Times New Roman"/>
          <w:i/>
          <w:szCs w:val="20"/>
        </w:rPr>
        <w:t>quantité de service rendu égale.</w:t>
      </w:r>
    </w:p>
    <w:p w:rsidR="00DD4FDA" w:rsidRPr="00612B89" w:rsidRDefault="00DD4FDA" w:rsidP="00DD4FDA">
      <w:pPr>
        <w:spacing w:line="360" w:lineRule="auto"/>
        <w:jc w:val="both"/>
        <w:rPr>
          <w:rFonts w:ascii="Times New Roman" w:hAnsi="Times New Roman" w:cs="Times New Roman"/>
          <w:i/>
          <w:szCs w:val="20"/>
        </w:rPr>
      </w:pPr>
      <w:r w:rsidRPr="00612B89">
        <w:rPr>
          <w:rFonts w:ascii="Times New Roman" w:hAnsi="Times New Roman" w:cs="Times New Roman"/>
          <w:i/>
          <w:szCs w:val="20"/>
        </w:rPr>
        <w:t>L'ACV est </w:t>
      </w:r>
      <w:r w:rsidRPr="00DD4FDA">
        <w:rPr>
          <w:rFonts w:ascii="Times New Roman" w:hAnsi="Times New Roman" w:cs="Times New Roman"/>
          <w:i/>
          <w:szCs w:val="20"/>
        </w:rPr>
        <w:t>une procédure, c'est-à-dire une suite d'éta</w:t>
      </w:r>
      <w:r w:rsidRPr="00612B89">
        <w:rPr>
          <w:rFonts w:ascii="Times New Roman" w:hAnsi="Times New Roman" w:cs="Times New Roman"/>
          <w:i/>
          <w:szCs w:val="20"/>
        </w:rPr>
        <w:t xml:space="preserve">pes standardisées, c’est également </w:t>
      </w:r>
      <w:r w:rsidRPr="00DD4FDA">
        <w:rPr>
          <w:rFonts w:ascii="Times New Roman" w:hAnsi="Times New Roman" w:cs="Times New Roman"/>
          <w:i/>
          <w:szCs w:val="20"/>
        </w:rPr>
        <w:t>un modèle de transformations mathématiques permettant de transformer des flux en impacts environnementaux potentiels.</w:t>
      </w:r>
    </w:p>
    <w:p w:rsidR="00DD4FDA" w:rsidRPr="00612B89" w:rsidRDefault="00FE77ED" w:rsidP="00DD4FDA">
      <w:pPr>
        <w:spacing w:line="360" w:lineRule="auto"/>
        <w:jc w:val="right"/>
        <w:rPr>
          <w:rFonts w:ascii="Times New Roman" w:hAnsi="Times New Roman" w:cs="Times New Roman"/>
          <w:szCs w:val="20"/>
        </w:rPr>
      </w:pPr>
      <w:hyperlink r:id="rId11" w:history="1">
        <w:r w:rsidR="00DD4FDA" w:rsidRPr="00612B89">
          <w:rPr>
            <w:rStyle w:val="Lienhypertexte"/>
            <w:rFonts w:ascii="Times New Roman" w:hAnsi="Times New Roman" w:cs="Times New Roman"/>
            <w:szCs w:val="20"/>
          </w:rPr>
          <w:t>https://fr.wikipedia.org/wiki/Analyse_du_cycle_de_vie</w:t>
        </w:r>
      </w:hyperlink>
    </w:p>
    <w:p w:rsidR="00612B89" w:rsidRPr="00612B89" w:rsidRDefault="00DD4FDA" w:rsidP="00612B89">
      <w:pPr>
        <w:spacing w:line="360" w:lineRule="auto"/>
        <w:jc w:val="both"/>
        <w:rPr>
          <w:rFonts w:ascii="Times New Roman" w:hAnsi="Times New Roman" w:cs="Times New Roman"/>
          <w:i/>
          <w:szCs w:val="20"/>
        </w:rPr>
      </w:pPr>
      <w:r w:rsidRPr="00612B89">
        <w:rPr>
          <w:rFonts w:ascii="Times New Roman" w:hAnsi="Times New Roman" w:cs="Times New Roman"/>
          <w:b/>
          <w:i/>
          <w:szCs w:val="20"/>
        </w:rPr>
        <w:lastRenderedPageBreak/>
        <w:t>Bilan Carbone </w:t>
      </w:r>
      <w:r w:rsidR="00612B89" w:rsidRPr="00612B89">
        <w:rPr>
          <w:rFonts w:ascii="Times New Roman" w:hAnsi="Times New Roman" w:cs="Times New Roman"/>
        </w:rPr>
        <w:t xml:space="preserve">® </w:t>
      </w:r>
      <w:r w:rsidRPr="00612B89">
        <w:rPr>
          <w:rFonts w:ascii="Times New Roman" w:hAnsi="Times New Roman" w:cs="Times New Roman"/>
          <w:b/>
          <w:i/>
          <w:szCs w:val="20"/>
        </w:rPr>
        <w:t xml:space="preserve">: </w:t>
      </w:r>
      <w:r w:rsidR="00612B89" w:rsidRPr="00612B89">
        <w:rPr>
          <w:rFonts w:ascii="Times New Roman" w:hAnsi="Times New Roman" w:cs="Times New Roman"/>
          <w:i/>
          <w:szCs w:val="20"/>
        </w:rPr>
        <w:t xml:space="preserve">Le Bilan Carbone </w:t>
      </w:r>
      <w:r w:rsidR="00612B89" w:rsidRPr="00612B89">
        <w:rPr>
          <w:rFonts w:ascii="Times New Roman" w:hAnsi="Times New Roman" w:cs="Times New Roman"/>
          <w:i/>
          <w:szCs w:val="20"/>
          <w:vertAlign w:val="superscript"/>
        </w:rPr>
        <w:t>®</w:t>
      </w:r>
      <w:r w:rsidR="00612B89" w:rsidRPr="00612B89">
        <w:rPr>
          <w:rFonts w:ascii="Times New Roman" w:hAnsi="Times New Roman" w:cs="Times New Roman"/>
          <w:i/>
          <w:szCs w:val="20"/>
        </w:rPr>
        <w:t xml:space="preserve"> est un outil développé par l’</w:t>
      </w:r>
      <w:hyperlink r:id="rId12" w:tgtFrame="_blank" w:history="1">
        <w:r w:rsidR="00612B89" w:rsidRPr="00612B89">
          <w:rPr>
            <w:rFonts w:ascii="Times New Roman" w:hAnsi="Times New Roman" w:cs="Times New Roman"/>
            <w:i/>
            <w:szCs w:val="20"/>
          </w:rPr>
          <w:t>ADEME</w:t>
        </w:r>
      </w:hyperlink>
      <w:r w:rsidR="00612B89" w:rsidRPr="00612B89">
        <w:rPr>
          <w:rFonts w:ascii="Times New Roman" w:hAnsi="Times New Roman" w:cs="Times New Roman"/>
          <w:i/>
          <w:szCs w:val="20"/>
        </w:rPr>
        <w:t xml:space="preserve"> (Agence de l’Environnement et de la Maîtrise de l’Énergie), et dont la gestion est assurée depuis 2011 par l’</w:t>
      </w:r>
      <w:hyperlink r:id="rId13" w:tgtFrame="_blank" w:history="1">
        <w:r w:rsidR="00612B89" w:rsidRPr="00612B89">
          <w:rPr>
            <w:rFonts w:ascii="Times New Roman" w:hAnsi="Times New Roman" w:cs="Times New Roman"/>
            <w:i/>
            <w:szCs w:val="20"/>
          </w:rPr>
          <w:t>ABC (Association Bilan Carbone)</w:t>
        </w:r>
      </w:hyperlink>
      <w:r w:rsidR="00612B89" w:rsidRPr="00612B89">
        <w:rPr>
          <w:rFonts w:ascii="Times New Roman" w:hAnsi="Times New Roman" w:cs="Times New Roman"/>
          <w:i/>
          <w:szCs w:val="20"/>
        </w:rPr>
        <w:t>. Il permet de comptabiliser les émissions directes et indirectes de gaz à effet de serre, selon une méthode dont les règles sont publiques et officiellement reconnues. Toute entreprise, administration, collectivité, ou même personne à titre individuel, peut ainsi établir une comptabilité carbone de ses activités.</w:t>
      </w:r>
    </w:p>
    <w:p w:rsidR="00612B89" w:rsidRPr="00612B89" w:rsidRDefault="00612B89" w:rsidP="00612B89">
      <w:pPr>
        <w:spacing w:line="360" w:lineRule="auto"/>
        <w:jc w:val="both"/>
        <w:rPr>
          <w:rFonts w:ascii="Times New Roman" w:hAnsi="Times New Roman" w:cs="Times New Roman"/>
          <w:i/>
          <w:szCs w:val="20"/>
        </w:rPr>
      </w:pPr>
      <w:r w:rsidRPr="00612B89">
        <w:rPr>
          <w:rFonts w:ascii="Times New Roman" w:hAnsi="Times New Roman" w:cs="Times New Roman"/>
          <w:i/>
          <w:szCs w:val="20"/>
        </w:rPr>
        <w:t>La marque déposée Bilan Carbone ® a généré la vulgarisation de l’expression « bilan carbone », qui désigne aujourd’hui toute démarche visant à évaluer les émissions de CO2 dans le cadre d’une stratégie environnementale de réduction des impacts.</w:t>
      </w:r>
    </w:p>
    <w:p w:rsidR="00612B89" w:rsidRPr="00612B89" w:rsidRDefault="00FE77ED" w:rsidP="00612B89">
      <w:pPr>
        <w:spacing w:line="360" w:lineRule="auto"/>
        <w:jc w:val="right"/>
        <w:rPr>
          <w:rFonts w:ascii="Times New Roman" w:hAnsi="Times New Roman" w:cs="Times New Roman"/>
          <w:szCs w:val="20"/>
        </w:rPr>
      </w:pPr>
      <w:hyperlink r:id="rId14" w:history="1">
        <w:r w:rsidR="00612B89" w:rsidRPr="00612B89">
          <w:rPr>
            <w:rStyle w:val="Lienhypertexte"/>
            <w:rFonts w:ascii="Times New Roman" w:hAnsi="Times New Roman" w:cs="Times New Roman"/>
            <w:szCs w:val="20"/>
          </w:rPr>
          <w:t>https://e-rse.net/definitions/definition-bilan-carbone/</w:t>
        </w:r>
      </w:hyperlink>
    </w:p>
    <w:p w:rsidR="00612B89" w:rsidRPr="00612B89" w:rsidRDefault="00612B89" w:rsidP="00DD4FDA">
      <w:pPr>
        <w:spacing w:line="360" w:lineRule="auto"/>
        <w:jc w:val="both"/>
        <w:rPr>
          <w:rFonts w:ascii="Times New Roman" w:hAnsi="Times New Roman" w:cs="Times New Roman"/>
          <w:b/>
          <w:i/>
          <w:szCs w:val="20"/>
        </w:rPr>
      </w:pPr>
    </w:p>
    <w:p w:rsidR="00DD4FDA" w:rsidRPr="00886DEF" w:rsidRDefault="00612B89" w:rsidP="00DD4FDA">
      <w:pPr>
        <w:spacing w:line="360" w:lineRule="auto"/>
        <w:jc w:val="both"/>
        <w:rPr>
          <w:rFonts w:ascii="Times New Roman" w:hAnsi="Times New Roman" w:cs="Times New Roman"/>
          <w:szCs w:val="20"/>
        </w:rPr>
      </w:pPr>
      <w:r w:rsidRPr="00886DEF">
        <w:rPr>
          <w:rFonts w:ascii="Times New Roman" w:hAnsi="Times New Roman" w:cs="Times New Roman"/>
          <w:b/>
          <w:szCs w:val="20"/>
        </w:rPr>
        <w:t>É</w:t>
      </w:r>
      <w:r w:rsidR="00DD4FDA" w:rsidRPr="00886DEF">
        <w:rPr>
          <w:rFonts w:ascii="Times New Roman" w:hAnsi="Times New Roman" w:cs="Times New Roman"/>
          <w:b/>
          <w:szCs w:val="20"/>
        </w:rPr>
        <w:t>conomie circulaire (EC) :</w:t>
      </w:r>
      <w:r w:rsidR="00DD4FDA" w:rsidRPr="00886DEF">
        <w:rPr>
          <w:rFonts w:ascii="Times New Roman" w:hAnsi="Times New Roman" w:cs="Times New Roman"/>
          <w:szCs w:val="20"/>
        </w:rPr>
        <w:t xml:space="preserve"> La démarche de l’économie circulaire vise à dépasser le modèle classique succédant de la révolution industrielle, d’économie linéaire (production, distribution, consommation et gestion des déchets). En effet, l’augmentation de la population mondiale engendre la pénurie de nombreuses ressources et ce qui favorise la mise en place d’une économie circulaire. Dans un contexte de transition des territoires vers une ville post-carbone, le défi de la circularité est urbain. Il s’agit alors de définir les points de leviers pour agir sur la ville existante et repenser les stratégies territoriales de planification afin de renouveler l’approche de l’aménagement pour le rendre plus durable, ou du moins, responsable. La traduction des notions d’économie circulaire à l’urbanisme constitue l’un des enjeux de la ville dé-carbonée. </w:t>
      </w:r>
    </w:p>
    <w:p w:rsidR="00DD4FDA" w:rsidRDefault="00886DEF" w:rsidP="00DD4FDA">
      <w:pPr>
        <w:spacing w:line="360" w:lineRule="auto"/>
        <w:jc w:val="both"/>
        <w:rPr>
          <w:rFonts w:ascii="Times New Roman" w:hAnsi="Times New Roman" w:cs="Times New Roman"/>
          <w:szCs w:val="20"/>
        </w:rPr>
      </w:pPr>
      <w:r w:rsidRPr="00886DEF">
        <w:rPr>
          <w:rFonts w:ascii="Times New Roman" w:hAnsi="Times New Roman" w:cs="Times New Roman"/>
          <w:b/>
          <w:szCs w:val="20"/>
        </w:rPr>
        <w:t>Écoconception :</w:t>
      </w:r>
      <w:r w:rsidRPr="00886DEF">
        <w:rPr>
          <w:rFonts w:ascii="Times New Roman" w:hAnsi="Times New Roman" w:cs="Times New Roman"/>
          <w:szCs w:val="20"/>
        </w:rPr>
        <w:t xml:space="preserve"> Contrairement à l’économie circulaire,</w:t>
      </w:r>
      <w:r w:rsidR="0030681E">
        <w:rPr>
          <w:rFonts w:ascii="Times New Roman" w:hAnsi="Times New Roman" w:cs="Times New Roman"/>
          <w:szCs w:val="20"/>
        </w:rPr>
        <w:t xml:space="preserve"> l’écoconception n’est pas obligatoirement appliqué en circuit fermé. Selon l’ADEME, ce terme désigne la volonté de concevoir en recourant </w:t>
      </w:r>
      <w:r w:rsidR="0030681E" w:rsidRPr="0030681E">
        <w:rPr>
          <w:rFonts w:ascii="Times New Roman" w:hAnsi="Times New Roman" w:cs="Times New Roman"/>
          <w:i/>
          <w:szCs w:val="20"/>
        </w:rPr>
        <w:t>« aussi peu que possible aux ressources non renouvelables en leur préférant l'utilisation de ressources renouvelables, exploitées en respectant leur taux de renouvellement et associées à une valorisation des déchets qui favorise le réemploi, la réparation et le recyclage »</w:t>
      </w:r>
      <w:r w:rsidRPr="00886DEF">
        <w:rPr>
          <w:rFonts w:ascii="Times New Roman" w:hAnsi="Times New Roman" w:cs="Times New Roman"/>
          <w:szCs w:val="20"/>
        </w:rPr>
        <w:t xml:space="preserve"> </w:t>
      </w:r>
      <w:r w:rsidR="0030681E">
        <w:rPr>
          <w:rFonts w:ascii="Times New Roman" w:hAnsi="Times New Roman" w:cs="Times New Roman"/>
          <w:szCs w:val="20"/>
        </w:rPr>
        <w:t>et ce dès l’esquisse. L’utilisation de l’ACV est en option tout comme la dématérialisation de l’information.</w:t>
      </w:r>
    </w:p>
    <w:p w:rsidR="00EC0E63" w:rsidRDefault="00EC0E63" w:rsidP="00DD4FDA">
      <w:pPr>
        <w:spacing w:line="360" w:lineRule="auto"/>
        <w:jc w:val="both"/>
        <w:rPr>
          <w:rFonts w:ascii="Times New Roman" w:hAnsi="Times New Roman" w:cs="Times New Roman"/>
          <w:szCs w:val="20"/>
        </w:rPr>
      </w:pPr>
    </w:p>
    <w:p w:rsidR="00EC0E63" w:rsidRPr="00BC7988" w:rsidRDefault="00EC0E63" w:rsidP="00EC0E63">
      <w:pPr>
        <w:spacing w:line="360" w:lineRule="auto"/>
        <w:jc w:val="center"/>
        <w:rPr>
          <w:rFonts w:ascii="Times New Roman" w:hAnsi="Times New Roman" w:cs="Times New Roman"/>
          <w:b/>
          <w:sz w:val="28"/>
          <w:szCs w:val="20"/>
        </w:rPr>
      </w:pPr>
      <w:r w:rsidRPr="00BC7988">
        <w:rPr>
          <w:rFonts w:ascii="Times New Roman" w:hAnsi="Times New Roman" w:cs="Times New Roman"/>
          <w:b/>
          <w:sz w:val="28"/>
          <w:szCs w:val="20"/>
        </w:rPr>
        <w:t>L’outil</w:t>
      </w:r>
    </w:p>
    <w:p w:rsidR="002C20F3" w:rsidRPr="00612B89" w:rsidRDefault="0030681E" w:rsidP="00143D59">
      <w:pPr>
        <w:spacing w:line="360" w:lineRule="auto"/>
        <w:jc w:val="both"/>
        <w:rPr>
          <w:rFonts w:ascii="Times New Roman" w:hAnsi="Times New Roman" w:cs="Times New Roman"/>
          <w:szCs w:val="20"/>
        </w:rPr>
      </w:pPr>
      <w:r>
        <w:rPr>
          <w:rFonts w:ascii="Times New Roman" w:hAnsi="Times New Roman" w:cs="Times New Roman"/>
          <w:szCs w:val="20"/>
        </w:rPr>
        <w:t xml:space="preserve">Aujourd’hui, la recherche pousse au développement d’outils permettant de mesurer l’impact d’une construction, ou d’une opération d’aménagement sur son territoire. Les outils NEST et NEST-TERR2 s’inscrivent dans cette démarche. </w:t>
      </w:r>
      <w:r w:rsidR="00305C2C" w:rsidRPr="00612B89">
        <w:rPr>
          <w:rFonts w:ascii="Times New Roman" w:hAnsi="Times New Roman" w:cs="Times New Roman"/>
          <w:szCs w:val="20"/>
        </w:rPr>
        <w:t>Le programme de recherche NESTERR2 poursuit les démarches amorcées par l’outil NEST (Neighbourhood Evaluation for Sustainable Territories).</w:t>
      </w:r>
      <w:r w:rsidR="00387E95" w:rsidRPr="00612B89">
        <w:rPr>
          <w:rFonts w:ascii="Times New Roman" w:hAnsi="Times New Roman" w:cs="Times New Roman"/>
          <w:szCs w:val="20"/>
        </w:rPr>
        <w:t xml:space="preserve"> Ce premier outil </w:t>
      </w:r>
      <w:r w:rsidR="00ED38B0" w:rsidRPr="00612B89">
        <w:rPr>
          <w:rFonts w:ascii="Times New Roman" w:hAnsi="Times New Roman" w:cs="Times New Roman"/>
          <w:szCs w:val="20"/>
        </w:rPr>
        <w:lastRenderedPageBreak/>
        <w:t>avait pour obje</w:t>
      </w:r>
      <w:r w:rsidR="00ED5E39" w:rsidRPr="00612B89">
        <w:rPr>
          <w:rFonts w:ascii="Times New Roman" w:hAnsi="Times New Roman" w:cs="Times New Roman"/>
          <w:szCs w:val="20"/>
        </w:rPr>
        <w:t>c</w:t>
      </w:r>
      <w:r w:rsidR="00ED38B0" w:rsidRPr="00612B89">
        <w:rPr>
          <w:rFonts w:ascii="Times New Roman" w:hAnsi="Times New Roman" w:cs="Times New Roman"/>
          <w:szCs w:val="20"/>
        </w:rPr>
        <w:t xml:space="preserve">tifs </w:t>
      </w:r>
      <w:r w:rsidR="00387E95" w:rsidRPr="00612B89">
        <w:rPr>
          <w:rFonts w:ascii="Times New Roman" w:hAnsi="Times New Roman" w:cs="Times New Roman"/>
          <w:szCs w:val="20"/>
        </w:rPr>
        <w:t xml:space="preserve">une évaluation </w:t>
      </w:r>
      <w:r w:rsidR="00FF61F1" w:rsidRPr="00612B89">
        <w:rPr>
          <w:rFonts w:ascii="Times New Roman" w:hAnsi="Times New Roman" w:cs="Times New Roman"/>
          <w:szCs w:val="20"/>
        </w:rPr>
        <w:t>environnementale</w:t>
      </w:r>
      <w:r w:rsidR="00387E95" w:rsidRPr="00612B89">
        <w:rPr>
          <w:rFonts w:ascii="Times New Roman" w:hAnsi="Times New Roman" w:cs="Times New Roman"/>
          <w:szCs w:val="20"/>
        </w:rPr>
        <w:t xml:space="preserve"> </w:t>
      </w:r>
      <w:r w:rsidR="00ED38B0" w:rsidRPr="00612B89">
        <w:rPr>
          <w:rFonts w:ascii="Times New Roman" w:hAnsi="Times New Roman" w:cs="Times New Roman"/>
          <w:szCs w:val="20"/>
        </w:rPr>
        <w:t xml:space="preserve">quantitative </w:t>
      </w:r>
      <w:r w:rsidR="00387E95" w:rsidRPr="00612B89">
        <w:rPr>
          <w:rFonts w:ascii="Times New Roman" w:hAnsi="Times New Roman" w:cs="Times New Roman"/>
          <w:szCs w:val="20"/>
        </w:rPr>
        <w:t>des opérations d’aménagement dès les premières phases du projet.</w:t>
      </w:r>
      <w:r w:rsidR="00C971FC" w:rsidRPr="00612B89">
        <w:rPr>
          <w:rFonts w:ascii="Times New Roman" w:hAnsi="Times New Roman" w:cs="Times New Roman"/>
          <w:szCs w:val="20"/>
        </w:rPr>
        <w:t xml:space="preserve"> </w:t>
      </w:r>
      <w:r w:rsidR="00E82DEF" w:rsidRPr="00612B89">
        <w:rPr>
          <w:rFonts w:ascii="Times New Roman" w:hAnsi="Times New Roman" w:cs="Times New Roman"/>
          <w:szCs w:val="20"/>
        </w:rPr>
        <w:t xml:space="preserve">NEST est un plugin, il s’appuie sur le logiciel de modélisation 3D, Sketchup. </w:t>
      </w:r>
      <w:r w:rsidR="00C971FC" w:rsidRPr="00612B89">
        <w:rPr>
          <w:rFonts w:ascii="Times New Roman" w:hAnsi="Times New Roman" w:cs="Times New Roman"/>
          <w:szCs w:val="20"/>
        </w:rPr>
        <w:t xml:space="preserve">Dans un premier temps, l’outil permet de développer une étude préliminaire du projet (identification des principaux enjeux, spécificités du projet, et leviers d’optimisation de l’étude). Ce dernier fournit ensuite </w:t>
      </w:r>
      <w:r w:rsidR="00F90443" w:rsidRPr="00612B89">
        <w:rPr>
          <w:rFonts w:ascii="Times New Roman" w:hAnsi="Times New Roman" w:cs="Times New Roman"/>
          <w:szCs w:val="20"/>
        </w:rPr>
        <w:t xml:space="preserve">une évaluation complète de la zone étudiée et </w:t>
      </w:r>
      <w:r w:rsidR="00C971FC" w:rsidRPr="00612B89">
        <w:rPr>
          <w:rFonts w:ascii="Times New Roman" w:hAnsi="Times New Roman" w:cs="Times New Roman"/>
          <w:szCs w:val="20"/>
        </w:rPr>
        <w:t xml:space="preserve">le compare </w:t>
      </w:r>
      <w:r w:rsidR="00F90443" w:rsidRPr="00612B89">
        <w:rPr>
          <w:rFonts w:ascii="Times New Roman" w:hAnsi="Times New Roman" w:cs="Times New Roman"/>
          <w:szCs w:val="20"/>
        </w:rPr>
        <w:t>à d’autres scénarios d’aménagement.</w:t>
      </w:r>
      <w:r w:rsidR="00E82DEF" w:rsidRPr="00612B89">
        <w:rPr>
          <w:rFonts w:ascii="Times New Roman" w:hAnsi="Times New Roman" w:cs="Times New Roman"/>
          <w:szCs w:val="20"/>
        </w:rPr>
        <w:t xml:space="preserve"> </w:t>
      </w:r>
    </w:p>
    <w:p w:rsidR="00E87B8E" w:rsidRPr="00612B89" w:rsidRDefault="00A751F5" w:rsidP="004171B1">
      <w:pPr>
        <w:spacing w:line="360" w:lineRule="auto"/>
        <w:jc w:val="both"/>
        <w:rPr>
          <w:rFonts w:ascii="Times New Roman" w:hAnsi="Times New Roman" w:cs="Times New Roman"/>
          <w:szCs w:val="20"/>
        </w:rPr>
      </w:pPr>
      <w:r w:rsidRPr="00612B89">
        <w:rPr>
          <w:rFonts w:ascii="Times New Roman" w:hAnsi="Times New Roman" w:cs="Times New Roman"/>
          <w:szCs w:val="20"/>
        </w:rPr>
        <w:t>Ce logiciel répondait notamment à une attente des maîtres d’œuvre de produire des indicateurs pour l’aménagement de projet</w:t>
      </w:r>
      <w:r w:rsidR="00ED5E39" w:rsidRPr="00612B89">
        <w:rPr>
          <w:rFonts w:ascii="Times New Roman" w:hAnsi="Times New Roman" w:cs="Times New Roman"/>
          <w:szCs w:val="20"/>
        </w:rPr>
        <w:t>s</w:t>
      </w:r>
      <w:r w:rsidRPr="00612B89">
        <w:rPr>
          <w:rFonts w:ascii="Times New Roman" w:hAnsi="Times New Roman" w:cs="Times New Roman"/>
          <w:szCs w:val="20"/>
        </w:rPr>
        <w:t xml:space="preserve"> avec critères HQE</w:t>
      </w:r>
      <w:r w:rsidR="00ED5E39" w:rsidRPr="00612B89">
        <w:rPr>
          <w:rFonts w:ascii="Times New Roman" w:hAnsi="Times New Roman" w:cs="Times New Roman"/>
          <w:szCs w:val="20"/>
        </w:rPr>
        <w:t xml:space="preserve"> (Haute Qualité Environnmentale)</w:t>
      </w:r>
      <w:r w:rsidRPr="00612B89">
        <w:rPr>
          <w:rFonts w:ascii="Times New Roman" w:hAnsi="Times New Roman" w:cs="Times New Roman"/>
          <w:szCs w:val="20"/>
        </w:rPr>
        <w:t>.</w:t>
      </w:r>
      <w:r w:rsidR="00E87B8E" w:rsidRPr="00612B89">
        <w:rPr>
          <w:rFonts w:ascii="Times New Roman" w:hAnsi="Times New Roman" w:cs="Times New Roman"/>
          <w:szCs w:val="20"/>
        </w:rPr>
        <w:t xml:space="preserve"> Cependant, cet outil</w:t>
      </w:r>
      <w:r w:rsidR="00253834" w:rsidRPr="00612B89">
        <w:rPr>
          <w:rFonts w:ascii="Times New Roman" w:hAnsi="Times New Roman" w:cs="Times New Roman"/>
          <w:szCs w:val="20"/>
        </w:rPr>
        <w:t xml:space="preserve"> </w:t>
      </w:r>
      <w:r w:rsidR="00E87B8E" w:rsidRPr="00612B89">
        <w:rPr>
          <w:rFonts w:ascii="Times New Roman" w:hAnsi="Times New Roman" w:cs="Times New Roman"/>
          <w:szCs w:val="20"/>
        </w:rPr>
        <w:t>prés</w:t>
      </w:r>
      <w:r w:rsidR="004901E0" w:rsidRPr="00612B89">
        <w:rPr>
          <w:rFonts w:ascii="Times New Roman" w:hAnsi="Times New Roman" w:cs="Times New Roman"/>
          <w:szCs w:val="20"/>
        </w:rPr>
        <w:t>entait des limites importantes.</w:t>
      </w:r>
      <w:r w:rsidR="00CF6FB6" w:rsidRPr="00612B89">
        <w:rPr>
          <w:rFonts w:ascii="Times New Roman" w:hAnsi="Times New Roman" w:cs="Times New Roman"/>
          <w:szCs w:val="20"/>
        </w:rPr>
        <w:t xml:space="preserve"> </w:t>
      </w:r>
      <w:r w:rsidR="004901E0" w:rsidRPr="00612B89">
        <w:rPr>
          <w:rFonts w:ascii="Times New Roman" w:hAnsi="Times New Roman" w:cs="Times New Roman"/>
          <w:szCs w:val="20"/>
        </w:rPr>
        <w:t xml:space="preserve">Ainsi, </w:t>
      </w:r>
      <w:r w:rsidR="00CF6FB6" w:rsidRPr="00612B89">
        <w:rPr>
          <w:rFonts w:ascii="Times New Roman" w:hAnsi="Times New Roman" w:cs="Times New Roman"/>
          <w:szCs w:val="20"/>
        </w:rPr>
        <w:t>l</w:t>
      </w:r>
      <w:r w:rsidR="00E87B8E" w:rsidRPr="00612B89">
        <w:rPr>
          <w:rFonts w:ascii="Times New Roman" w:hAnsi="Times New Roman" w:cs="Times New Roman"/>
          <w:szCs w:val="20"/>
        </w:rPr>
        <w:t>es indicateurs environnementaux n’étaient pas adaptés à l’échelle d’</w:t>
      </w:r>
      <w:r w:rsidR="00CF6FB6" w:rsidRPr="00612B89">
        <w:rPr>
          <w:rFonts w:ascii="Times New Roman" w:hAnsi="Times New Roman" w:cs="Times New Roman"/>
          <w:szCs w:val="20"/>
        </w:rPr>
        <w:t>aménagement</w:t>
      </w:r>
      <w:r w:rsidR="00ED5E39" w:rsidRPr="00612B89">
        <w:rPr>
          <w:rFonts w:ascii="Times New Roman" w:hAnsi="Times New Roman" w:cs="Times New Roman"/>
          <w:szCs w:val="20"/>
        </w:rPr>
        <w:t>. I</w:t>
      </w:r>
      <w:r w:rsidR="00CF6FB6" w:rsidRPr="00612B89">
        <w:rPr>
          <w:rFonts w:ascii="Times New Roman" w:hAnsi="Times New Roman" w:cs="Times New Roman"/>
          <w:szCs w:val="20"/>
        </w:rPr>
        <w:t>l était impossible d’utiliser l’outil à grande échell</w:t>
      </w:r>
      <w:r w:rsidR="00E87B8E" w:rsidRPr="00612B89">
        <w:rPr>
          <w:rFonts w:ascii="Times New Roman" w:hAnsi="Times New Roman" w:cs="Times New Roman"/>
          <w:szCs w:val="20"/>
        </w:rPr>
        <w:t>e</w:t>
      </w:r>
      <w:r w:rsidR="00ED5E39" w:rsidRPr="00612B89">
        <w:rPr>
          <w:rFonts w:ascii="Times New Roman" w:hAnsi="Times New Roman" w:cs="Times New Roman"/>
          <w:szCs w:val="20"/>
        </w:rPr>
        <w:t xml:space="preserve"> pour des questions de lourdeur de fichier. L</w:t>
      </w:r>
      <w:r w:rsidR="00CF6FB6" w:rsidRPr="00612B89">
        <w:rPr>
          <w:rFonts w:ascii="Times New Roman" w:hAnsi="Times New Roman" w:cs="Times New Roman"/>
          <w:szCs w:val="20"/>
        </w:rPr>
        <w:t>e</w:t>
      </w:r>
      <w:r w:rsidR="00E87B8E" w:rsidRPr="00612B89">
        <w:rPr>
          <w:rFonts w:ascii="Times New Roman" w:hAnsi="Times New Roman" w:cs="Times New Roman"/>
          <w:szCs w:val="20"/>
        </w:rPr>
        <w:t xml:space="preserve"> logiciel avait assez peu de débouchés </w:t>
      </w:r>
      <w:r w:rsidR="00ED5E39" w:rsidRPr="00612B89">
        <w:rPr>
          <w:rFonts w:ascii="Times New Roman" w:hAnsi="Times New Roman" w:cs="Times New Roman"/>
          <w:szCs w:val="20"/>
        </w:rPr>
        <w:t>commerciaux. E</w:t>
      </w:r>
      <w:r w:rsidR="00CF6FB6" w:rsidRPr="00612B89">
        <w:rPr>
          <w:rFonts w:ascii="Times New Roman" w:hAnsi="Times New Roman" w:cs="Times New Roman"/>
          <w:szCs w:val="20"/>
        </w:rPr>
        <w:t>nfin, l</w:t>
      </w:r>
      <w:r w:rsidR="00E87B8E" w:rsidRPr="00612B89">
        <w:rPr>
          <w:rFonts w:ascii="Times New Roman" w:hAnsi="Times New Roman" w:cs="Times New Roman"/>
          <w:szCs w:val="20"/>
        </w:rPr>
        <w:t xml:space="preserve">e résultat proposé n’était pas parlant pour les décideurs. </w:t>
      </w:r>
    </w:p>
    <w:p w:rsidR="007D15CC" w:rsidRPr="00612B89" w:rsidRDefault="00B85C0E" w:rsidP="004171B1">
      <w:pPr>
        <w:spacing w:line="360" w:lineRule="auto"/>
        <w:jc w:val="both"/>
        <w:rPr>
          <w:rFonts w:ascii="Times New Roman" w:hAnsi="Times New Roman" w:cs="Times New Roman"/>
          <w:szCs w:val="20"/>
        </w:rPr>
      </w:pPr>
      <w:r w:rsidRPr="00612B89">
        <w:rPr>
          <w:rFonts w:ascii="Times New Roman" w:hAnsi="Times New Roman" w:cs="Times New Roman"/>
          <w:szCs w:val="20"/>
        </w:rPr>
        <w:t>P</w:t>
      </w:r>
      <w:r w:rsidR="007D15CC" w:rsidRPr="00612B89">
        <w:rPr>
          <w:rFonts w:ascii="Times New Roman" w:hAnsi="Times New Roman" w:cs="Times New Roman"/>
          <w:szCs w:val="20"/>
        </w:rPr>
        <w:t>our que l’outil d’évaluation de la durabilité́ urbaine NEST-TERR puisse pleinement jouer son rôle d’information aux différentes échelles, un travail de mise en cohérence entre les échelles et/ou avec les stratégies politiques en faveur d</w:t>
      </w:r>
      <w:r w:rsidRPr="00612B89">
        <w:rPr>
          <w:rFonts w:ascii="Times New Roman" w:hAnsi="Times New Roman" w:cs="Times New Roman"/>
          <w:szCs w:val="20"/>
        </w:rPr>
        <w:t>u développement durable s’imposait</w:t>
      </w:r>
      <w:r w:rsidR="007D15CC" w:rsidRPr="00612B89">
        <w:rPr>
          <w:rFonts w:ascii="Times New Roman" w:hAnsi="Times New Roman" w:cs="Times New Roman"/>
          <w:szCs w:val="20"/>
        </w:rPr>
        <w:t xml:space="preserve">. Chaque niveau d’information peut ainsi aider à construire des indicateurs d’aménagement urbain en mettant en relation chaque échelle de décision. </w:t>
      </w:r>
      <w:r w:rsidR="00982C40" w:rsidRPr="00612B89">
        <w:rPr>
          <w:rFonts w:ascii="Times New Roman" w:hAnsi="Times New Roman" w:cs="Times New Roman"/>
          <w:szCs w:val="20"/>
        </w:rPr>
        <w:t>Aujourd’hui, l’échelle privilégiée est celle de l’IRIS pour la simple raison qu’elle dispose de beaucoup d’information</w:t>
      </w:r>
      <w:r w:rsidR="00ED5E39" w:rsidRPr="00612B89">
        <w:rPr>
          <w:rFonts w:ascii="Times New Roman" w:hAnsi="Times New Roman" w:cs="Times New Roman"/>
          <w:szCs w:val="20"/>
        </w:rPr>
        <w:t>s</w:t>
      </w:r>
      <w:r w:rsidR="00982C40" w:rsidRPr="00612B89">
        <w:rPr>
          <w:rFonts w:ascii="Times New Roman" w:hAnsi="Times New Roman" w:cs="Times New Roman"/>
          <w:szCs w:val="20"/>
        </w:rPr>
        <w:t>, et parce que c’est une échelle qui correspond à l’</w:t>
      </w:r>
      <w:r w:rsidR="00D94E35" w:rsidRPr="00612B89">
        <w:rPr>
          <w:rFonts w:ascii="Times New Roman" w:hAnsi="Times New Roman" w:cs="Times New Roman"/>
          <w:szCs w:val="20"/>
        </w:rPr>
        <w:t>aménagement</w:t>
      </w:r>
      <w:r w:rsidR="00982C40" w:rsidRPr="00612B89">
        <w:rPr>
          <w:rFonts w:ascii="Times New Roman" w:hAnsi="Times New Roman" w:cs="Times New Roman"/>
          <w:szCs w:val="20"/>
        </w:rPr>
        <w:t xml:space="preserve"> du territoire.</w:t>
      </w:r>
    </w:p>
    <w:p w:rsidR="00A779EE" w:rsidRPr="00612B89" w:rsidRDefault="007D15CC" w:rsidP="004171B1">
      <w:pPr>
        <w:spacing w:line="360" w:lineRule="auto"/>
        <w:jc w:val="both"/>
        <w:rPr>
          <w:rFonts w:ascii="Times New Roman" w:hAnsi="Times New Roman" w:cs="Times New Roman"/>
          <w:szCs w:val="20"/>
        </w:rPr>
      </w:pPr>
      <w:r w:rsidRPr="00612B89">
        <w:rPr>
          <w:rFonts w:ascii="Times New Roman" w:hAnsi="Times New Roman" w:cs="Times New Roman"/>
          <w:szCs w:val="20"/>
        </w:rPr>
        <w:t>Afin de pallier à cette problématique, l’objectif est de trouve</w:t>
      </w:r>
      <w:r w:rsidR="00ED5E39" w:rsidRPr="00612B89">
        <w:rPr>
          <w:rFonts w:ascii="Times New Roman" w:hAnsi="Times New Roman" w:cs="Times New Roman"/>
          <w:szCs w:val="20"/>
        </w:rPr>
        <w:t>r les liens qui peuvent exister</w:t>
      </w:r>
      <w:r w:rsidRPr="00612B89">
        <w:rPr>
          <w:rFonts w:ascii="Times New Roman" w:hAnsi="Times New Roman" w:cs="Times New Roman"/>
          <w:szCs w:val="20"/>
        </w:rPr>
        <w:t xml:space="preserve"> entre les différentes échelles, puis de les identifier et de les évaluer dans le cadre d’une opération d’aménagement. </w:t>
      </w:r>
      <w:r w:rsidR="00ED5E39" w:rsidRPr="00612B89">
        <w:rPr>
          <w:rFonts w:ascii="Times New Roman" w:hAnsi="Times New Roman" w:cs="Times New Roman"/>
          <w:szCs w:val="20"/>
        </w:rPr>
        <w:t xml:space="preserve">Il a été décidé de ne pas évaluer les  indicateurs non-quantifiables (comme la biodiversité). </w:t>
      </w:r>
      <w:r w:rsidR="00C37289" w:rsidRPr="00612B89">
        <w:rPr>
          <w:rFonts w:ascii="Times New Roman" w:hAnsi="Times New Roman" w:cs="Times New Roman"/>
          <w:szCs w:val="20"/>
        </w:rPr>
        <w:t>Des résultats issus d’une démarche calculatoire ayant tendance à laisser penser des non-spécialistes qu’ils sont exacts.</w:t>
      </w:r>
      <w:r w:rsidR="00ED5E39" w:rsidRPr="00612B89">
        <w:rPr>
          <w:rFonts w:ascii="Times New Roman" w:hAnsi="Times New Roman" w:cs="Times New Roman"/>
          <w:szCs w:val="20"/>
        </w:rPr>
        <w:t xml:space="preserve"> </w:t>
      </w:r>
    </w:p>
    <w:p w:rsidR="007D15CC" w:rsidRPr="00612B89" w:rsidRDefault="00A779EE" w:rsidP="004171B1">
      <w:pPr>
        <w:spacing w:line="360" w:lineRule="auto"/>
        <w:jc w:val="both"/>
        <w:rPr>
          <w:rFonts w:ascii="Times New Roman" w:hAnsi="Times New Roman" w:cs="Times New Roman"/>
          <w:szCs w:val="20"/>
        </w:rPr>
      </w:pPr>
      <w:r w:rsidRPr="00612B89">
        <w:rPr>
          <w:rFonts w:ascii="Times New Roman" w:hAnsi="Times New Roman" w:cs="Times New Roman"/>
          <w:szCs w:val="20"/>
        </w:rPr>
        <w:t>L</w:t>
      </w:r>
      <w:r w:rsidR="007D15CC" w:rsidRPr="00612B89">
        <w:rPr>
          <w:rFonts w:ascii="Times New Roman" w:hAnsi="Times New Roman" w:cs="Times New Roman"/>
          <w:szCs w:val="20"/>
        </w:rPr>
        <w:t>’outil utilise plusieurs indicateurs de suivi</w:t>
      </w:r>
      <w:r w:rsidRPr="00612B89">
        <w:rPr>
          <w:rFonts w:ascii="Times New Roman" w:hAnsi="Times New Roman" w:cs="Times New Roman"/>
          <w:szCs w:val="20"/>
        </w:rPr>
        <w:t xml:space="preserve"> </w:t>
      </w:r>
      <w:r w:rsidR="007D15CC" w:rsidRPr="00612B89">
        <w:rPr>
          <w:rFonts w:ascii="Times New Roman" w:hAnsi="Times New Roman" w:cs="Times New Roman"/>
          <w:szCs w:val="20"/>
        </w:rPr>
        <w:t xml:space="preserve">: </w:t>
      </w:r>
      <w:r w:rsidR="00296363" w:rsidRPr="00612B89">
        <w:rPr>
          <w:rFonts w:ascii="Times New Roman" w:hAnsi="Times New Roman" w:cs="Times New Roman"/>
          <w:szCs w:val="20"/>
        </w:rPr>
        <w:t>énergie primaire totale, changement climatique, part modale des actifs occupés, étalement urbain, qualité de la desserte du territoire, revenu médian par unité de consommation, mixité fonctionnelle, et coût du loyer pour les logements sociaux.</w:t>
      </w:r>
      <w:r w:rsidR="00B2482F" w:rsidRPr="00612B89">
        <w:rPr>
          <w:rFonts w:ascii="Times New Roman" w:hAnsi="Times New Roman" w:cs="Times New Roman"/>
          <w:szCs w:val="20"/>
        </w:rPr>
        <w:t xml:space="preserve"> Ces derniers ont vocation à plus à qualifier le bien-être que la qualité environnementale.</w:t>
      </w:r>
      <w:r w:rsidR="00296363" w:rsidRPr="00612B89">
        <w:rPr>
          <w:rFonts w:ascii="Times New Roman" w:hAnsi="Times New Roman" w:cs="Times New Roman"/>
          <w:szCs w:val="20"/>
        </w:rPr>
        <w:t xml:space="preserve"> L’enjeu du développement de cet outil est double car il permet à terme de pouvoir comparer l’échelle du quartier (opératio</w:t>
      </w:r>
      <w:r w:rsidR="00A20D03" w:rsidRPr="00612B89">
        <w:rPr>
          <w:rFonts w:ascii="Times New Roman" w:hAnsi="Times New Roman" w:cs="Times New Roman"/>
          <w:szCs w:val="20"/>
        </w:rPr>
        <w:t>n d’aménag</w:t>
      </w:r>
      <w:r w:rsidR="00430499" w:rsidRPr="00612B89">
        <w:rPr>
          <w:rFonts w:ascii="Times New Roman" w:hAnsi="Times New Roman" w:cs="Times New Roman"/>
          <w:szCs w:val="20"/>
        </w:rPr>
        <w:t xml:space="preserve">ement) à l’échelle de la ville </w:t>
      </w:r>
      <w:r w:rsidR="00296363" w:rsidRPr="00612B89">
        <w:rPr>
          <w:rFonts w:ascii="Times New Roman" w:hAnsi="Times New Roman" w:cs="Times New Roman"/>
          <w:szCs w:val="20"/>
        </w:rPr>
        <w:t xml:space="preserve">(scénario de développement territorial). NEST et NEST-TERR s’appuient sur des </w:t>
      </w:r>
      <w:r w:rsidR="00CB1B9B" w:rsidRPr="00612B89">
        <w:rPr>
          <w:rFonts w:ascii="Times New Roman" w:hAnsi="Times New Roman" w:cs="Times New Roman"/>
          <w:szCs w:val="20"/>
        </w:rPr>
        <w:t>opérations</w:t>
      </w:r>
      <w:r w:rsidR="00296363" w:rsidRPr="00612B89">
        <w:rPr>
          <w:rFonts w:ascii="Times New Roman" w:hAnsi="Times New Roman" w:cs="Times New Roman"/>
          <w:szCs w:val="20"/>
        </w:rPr>
        <w:t xml:space="preserve"> réelles tout au long de</w:t>
      </w:r>
      <w:r w:rsidR="00CB1B9B" w:rsidRPr="00612B89">
        <w:rPr>
          <w:rFonts w:ascii="Times New Roman" w:hAnsi="Times New Roman" w:cs="Times New Roman"/>
          <w:szCs w:val="20"/>
        </w:rPr>
        <w:t xml:space="preserve"> leur </w:t>
      </w:r>
      <w:r w:rsidR="00602885">
        <w:rPr>
          <w:rFonts w:ascii="Times New Roman" w:hAnsi="Times New Roman" w:cs="Times New Roman"/>
          <w:szCs w:val="20"/>
        </w:rPr>
        <w:t>évolution</w:t>
      </w:r>
      <w:r w:rsidR="00CB1B9B" w:rsidRPr="00612B89">
        <w:rPr>
          <w:rFonts w:ascii="Times New Roman" w:hAnsi="Times New Roman" w:cs="Times New Roman"/>
          <w:szCs w:val="20"/>
        </w:rPr>
        <w:t>. Pour cela, la collaboration entre les différents acteurs (Eurométropole de Strasbourg, laboratoire AMUP et partenaires du projet) est indispensable afin de récupérer et de traiter les données nécessaires.</w:t>
      </w:r>
      <w:r w:rsidR="003619EE" w:rsidRPr="003619EE">
        <w:rPr>
          <w:rFonts w:ascii="Times New Roman" w:hAnsi="Times New Roman" w:cs="Times New Roman"/>
          <w:color w:val="FF0000"/>
          <w:szCs w:val="20"/>
        </w:rPr>
        <w:t xml:space="preserve"> </w:t>
      </w:r>
    </w:p>
    <w:p w:rsidR="0083307F" w:rsidRPr="00612B89" w:rsidRDefault="0083307F" w:rsidP="0083307F">
      <w:pPr>
        <w:spacing w:line="360" w:lineRule="auto"/>
        <w:jc w:val="both"/>
        <w:rPr>
          <w:rFonts w:ascii="Times New Roman" w:hAnsi="Times New Roman" w:cs="Times New Roman"/>
          <w:szCs w:val="20"/>
        </w:rPr>
      </w:pPr>
      <w:r w:rsidRPr="00612B89">
        <w:rPr>
          <w:rFonts w:ascii="Times New Roman" w:hAnsi="Times New Roman" w:cs="Times New Roman"/>
          <w:szCs w:val="20"/>
        </w:rPr>
        <w:t xml:space="preserve">L’objectif de ce projet est de proposer une méthodologie et un outil permettant d’élaborer plusieurs stratégies d’aménagement durable à l’échelle du territoire. En ce qui concerne l’Eurométropole de Strasbourg, cette plateforme devra permettre d’identifier les paramètres clés pour la mise en place </w:t>
      </w:r>
      <w:r w:rsidRPr="00612B89">
        <w:rPr>
          <w:rFonts w:ascii="Times New Roman" w:hAnsi="Times New Roman" w:cs="Times New Roman"/>
          <w:szCs w:val="20"/>
        </w:rPr>
        <w:lastRenderedPageBreak/>
        <w:t xml:space="preserve">durable de ces opérations d’aménagement. Elle constituera également un outil de concertation entre les différents acteurs relatifs aux opérations d’aménagement. </w:t>
      </w:r>
    </w:p>
    <w:p w:rsidR="0083307F" w:rsidRPr="00612B89" w:rsidRDefault="0083307F" w:rsidP="0083307F">
      <w:pPr>
        <w:spacing w:line="360" w:lineRule="auto"/>
        <w:jc w:val="both"/>
        <w:rPr>
          <w:rFonts w:ascii="Times New Roman" w:hAnsi="Times New Roman" w:cs="Times New Roman"/>
          <w:szCs w:val="20"/>
        </w:rPr>
      </w:pPr>
      <w:r w:rsidRPr="00612B89">
        <w:rPr>
          <w:rFonts w:ascii="Times New Roman" w:hAnsi="Times New Roman" w:cs="Times New Roman"/>
          <w:szCs w:val="20"/>
        </w:rPr>
        <w:t>Cela peut se traduire de la manière suivante :</w:t>
      </w:r>
    </w:p>
    <w:p w:rsidR="0083307F" w:rsidRPr="00612B89" w:rsidRDefault="0083307F" w:rsidP="0083307F">
      <w:pPr>
        <w:pStyle w:val="Paragraphedeliste"/>
        <w:numPr>
          <w:ilvl w:val="0"/>
          <w:numId w:val="4"/>
        </w:numPr>
        <w:spacing w:before="60" w:after="120" w:line="360" w:lineRule="auto"/>
        <w:contextualSpacing w:val="0"/>
        <w:jc w:val="both"/>
        <w:rPr>
          <w:rFonts w:ascii="Times New Roman" w:hAnsi="Times New Roman" w:cs="Times New Roman"/>
          <w:szCs w:val="20"/>
        </w:rPr>
      </w:pPr>
      <w:r w:rsidRPr="00612B89">
        <w:rPr>
          <w:rFonts w:ascii="Times New Roman" w:hAnsi="Times New Roman" w:cs="Times New Roman"/>
          <w:szCs w:val="20"/>
        </w:rPr>
        <w:t xml:space="preserve">Créer l’outil NEST-TERR et développer la méthodologie associée pour permettre le suivi de ces indicateurs et la prise de décision sur la base de ces derniers, notamment sur les facteurs liés à l’environnement et à la qualité de vie : densité, végétation, </w:t>
      </w:r>
      <w:r w:rsidRPr="00612B89">
        <w:rPr>
          <w:rFonts w:ascii="Times New Roman" w:hAnsi="Times New Roman" w:cs="Times New Roman"/>
          <w:b/>
          <w:szCs w:val="20"/>
        </w:rPr>
        <w:t>mobilité</w:t>
      </w:r>
      <w:r w:rsidRPr="00612B89">
        <w:rPr>
          <w:rFonts w:ascii="Times New Roman" w:hAnsi="Times New Roman" w:cs="Times New Roman"/>
          <w:szCs w:val="20"/>
        </w:rPr>
        <w:t>, énergie.</w:t>
      </w:r>
    </w:p>
    <w:p w:rsidR="0083307F" w:rsidRPr="00612B89" w:rsidRDefault="0083307F" w:rsidP="0083307F">
      <w:pPr>
        <w:pStyle w:val="Paragraphedeliste"/>
        <w:numPr>
          <w:ilvl w:val="0"/>
          <w:numId w:val="4"/>
        </w:numPr>
        <w:spacing w:before="60" w:after="120" w:line="360" w:lineRule="auto"/>
        <w:jc w:val="both"/>
        <w:rPr>
          <w:rFonts w:ascii="Times New Roman" w:hAnsi="Times New Roman" w:cs="Times New Roman"/>
          <w:szCs w:val="20"/>
        </w:rPr>
      </w:pPr>
      <w:r w:rsidRPr="00612B89">
        <w:rPr>
          <w:rFonts w:ascii="Times New Roman" w:hAnsi="Times New Roman" w:cs="Times New Roman"/>
          <w:szCs w:val="20"/>
        </w:rPr>
        <w:t>Mettre en évidence les indicateurs quantitatifs de durabilité pertinents aux différentes échelles de l’étude, à savoir depuis le « Bâtiment » jusqu’au « Territoire » en passant par le « Quartier » et la « Ville ».</w:t>
      </w:r>
    </w:p>
    <w:p w:rsidR="0083307F" w:rsidRPr="00612B89" w:rsidRDefault="0083307F" w:rsidP="0083307F">
      <w:pPr>
        <w:pStyle w:val="Paragraphedeliste"/>
        <w:numPr>
          <w:ilvl w:val="0"/>
          <w:numId w:val="4"/>
        </w:numPr>
        <w:spacing w:before="60" w:after="120" w:line="360" w:lineRule="auto"/>
        <w:contextualSpacing w:val="0"/>
        <w:jc w:val="both"/>
        <w:rPr>
          <w:rFonts w:ascii="Times New Roman" w:hAnsi="Times New Roman" w:cs="Times New Roman"/>
          <w:szCs w:val="20"/>
        </w:rPr>
      </w:pPr>
      <w:r w:rsidRPr="00612B89">
        <w:rPr>
          <w:rFonts w:ascii="Times New Roman" w:hAnsi="Times New Roman" w:cs="Times New Roman"/>
          <w:szCs w:val="20"/>
        </w:rPr>
        <w:t>Appliquer l’ensemble des éléments développés dans le projet à des opérations réelles d’aménagement (en neuf et en réhabilitation) à l’échelle du territoire de l’Eurométropole de Strasbourg afin de garantir leur opérationnalité.</w:t>
      </w:r>
    </w:p>
    <w:p w:rsidR="0083307F" w:rsidRPr="00612B89" w:rsidRDefault="0083307F" w:rsidP="0083307F">
      <w:pPr>
        <w:pStyle w:val="Paragraphedeliste"/>
        <w:numPr>
          <w:ilvl w:val="0"/>
          <w:numId w:val="4"/>
        </w:numPr>
        <w:spacing w:before="60" w:after="120" w:line="360" w:lineRule="auto"/>
        <w:contextualSpacing w:val="0"/>
        <w:jc w:val="both"/>
        <w:rPr>
          <w:rFonts w:ascii="Times New Roman" w:hAnsi="Times New Roman" w:cs="Times New Roman"/>
          <w:szCs w:val="20"/>
        </w:rPr>
      </w:pPr>
      <w:r w:rsidRPr="00612B89">
        <w:rPr>
          <w:rFonts w:ascii="Times New Roman" w:hAnsi="Times New Roman" w:cs="Times New Roman"/>
          <w:szCs w:val="20"/>
        </w:rPr>
        <w:t>Permettre à l’Eurométropole de Strasbourg de disposer d’éléments quantitatifs et objectifs pour la définition de sa stratégie d’aménagement en accord avec ses objectifs en matière de durabilité.</w:t>
      </w:r>
    </w:p>
    <w:p w:rsidR="0083307F" w:rsidRPr="00612B89" w:rsidRDefault="0083307F" w:rsidP="004171B1">
      <w:pPr>
        <w:pStyle w:val="Paragraphedeliste"/>
        <w:numPr>
          <w:ilvl w:val="0"/>
          <w:numId w:val="4"/>
        </w:numPr>
        <w:spacing w:before="60" w:after="120" w:line="360" w:lineRule="auto"/>
        <w:contextualSpacing w:val="0"/>
        <w:jc w:val="both"/>
        <w:rPr>
          <w:rFonts w:ascii="Times New Roman" w:hAnsi="Times New Roman" w:cs="Times New Roman"/>
          <w:szCs w:val="20"/>
        </w:rPr>
      </w:pPr>
      <w:r w:rsidRPr="00612B89">
        <w:rPr>
          <w:rFonts w:ascii="Times New Roman" w:hAnsi="Times New Roman" w:cs="Times New Roman"/>
          <w:szCs w:val="20"/>
        </w:rPr>
        <w:t>Créer un espace de simulation afin de projeter et confronter les aspects qualitatifs des différentes propositions opérations.</w:t>
      </w:r>
    </w:p>
    <w:p w:rsidR="002C5919" w:rsidRPr="00612B89" w:rsidRDefault="004D05C4" w:rsidP="002C5919">
      <w:pPr>
        <w:spacing w:line="360" w:lineRule="auto"/>
        <w:jc w:val="both"/>
        <w:rPr>
          <w:rFonts w:ascii="Times New Roman" w:hAnsi="Times New Roman" w:cs="Times New Roman"/>
          <w:szCs w:val="20"/>
        </w:rPr>
      </w:pPr>
      <w:r w:rsidRPr="00612B89">
        <w:rPr>
          <w:rFonts w:ascii="Times New Roman" w:hAnsi="Times New Roman" w:cs="Times New Roman"/>
          <w:szCs w:val="20"/>
        </w:rPr>
        <w:t xml:space="preserve">La mission confiée au laboratoire est de rendre cette information lisible et compréhensible par tous. </w:t>
      </w:r>
      <w:r w:rsidR="002C5919" w:rsidRPr="00612B89">
        <w:rPr>
          <w:rFonts w:ascii="Times New Roman" w:hAnsi="Times New Roman" w:cs="Times New Roman"/>
          <w:szCs w:val="20"/>
        </w:rPr>
        <w:t>L’objectif est d’explorer la possibilité de cartographier le territoire de l’Eurométropole en utilisant les indicateurs fournis (ci-avant) par le biais de la combinaison de plusieurs données ou plus</w:t>
      </w:r>
      <w:r w:rsidR="007076BD" w:rsidRPr="00612B89">
        <w:rPr>
          <w:rFonts w:ascii="Times New Roman" w:hAnsi="Times New Roman" w:cs="Times New Roman"/>
          <w:szCs w:val="20"/>
        </w:rPr>
        <w:t>ieurs moyens de représentation graphiques (</w:t>
      </w:r>
      <w:r w:rsidR="002C5919" w:rsidRPr="00612B89">
        <w:rPr>
          <w:rFonts w:ascii="Times New Roman" w:hAnsi="Times New Roman" w:cs="Times New Roman"/>
          <w:szCs w:val="20"/>
        </w:rPr>
        <w:t>3D,</w:t>
      </w:r>
      <w:r w:rsidR="007076BD" w:rsidRPr="00612B89">
        <w:rPr>
          <w:rFonts w:ascii="Times New Roman" w:hAnsi="Times New Roman" w:cs="Times New Roman"/>
          <w:szCs w:val="20"/>
        </w:rPr>
        <w:t xml:space="preserve"> 2D</w:t>
      </w:r>
      <w:r w:rsidR="002C5919" w:rsidRPr="00612B89">
        <w:rPr>
          <w:rFonts w:ascii="Times New Roman" w:hAnsi="Times New Roman" w:cs="Times New Roman"/>
          <w:szCs w:val="20"/>
        </w:rPr>
        <w:t>). A terme, le logiciel devrait permettre de rendre visible l’invisible (réseaux, desserte, économie, énergie, etc.). L’enjeu est de veiller à l’homogénéité des données utilisées à l’échelle locale (NEST) et à l’échelle territoriale (NEST-TERR).</w:t>
      </w:r>
    </w:p>
    <w:p w:rsidR="002934C8" w:rsidRPr="00612B89" w:rsidRDefault="00CB1B9B" w:rsidP="004171B1">
      <w:pPr>
        <w:spacing w:before="60" w:after="120" w:line="360" w:lineRule="auto"/>
        <w:jc w:val="both"/>
        <w:rPr>
          <w:rFonts w:ascii="Times New Roman" w:hAnsi="Times New Roman" w:cs="Times New Roman"/>
          <w:szCs w:val="20"/>
        </w:rPr>
      </w:pPr>
      <w:r w:rsidRPr="00612B89">
        <w:rPr>
          <w:rFonts w:ascii="Times New Roman" w:hAnsi="Times New Roman" w:cs="Times New Roman"/>
          <w:szCs w:val="20"/>
        </w:rPr>
        <w:t>In fine, l’Eurométropole pourra utiliser le nouvel o</w:t>
      </w:r>
      <w:r w:rsidR="00C5372D" w:rsidRPr="00612B89">
        <w:rPr>
          <w:rFonts w:ascii="Times New Roman" w:hAnsi="Times New Roman" w:cs="Times New Roman"/>
          <w:szCs w:val="20"/>
        </w:rPr>
        <w:t>util NEST-TERR afin d’évaluer les schémas d’aménagement à échéance 2030 sous le prisme de la</w:t>
      </w:r>
      <w:r w:rsidRPr="00612B89">
        <w:rPr>
          <w:rFonts w:ascii="Times New Roman" w:hAnsi="Times New Roman" w:cs="Times New Roman"/>
          <w:szCs w:val="20"/>
        </w:rPr>
        <w:t xml:space="preserve"> performance environ</w:t>
      </w:r>
      <w:r w:rsidR="00C5372D" w:rsidRPr="00612B89">
        <w:rPr>
          <w:rFonts w:ascii="Times New Roman" w:hAnsi="Times New Roman" w:cs="Times New Roman"/>
          <w:szCs w:val="20"/>
        </w:rPr>
        <w:t>nementale, sociale et économique</w:t>
      </w:r>
    </w:p>
    <w:p w:rsidR="00CB1B9B" w:rsidRDefault="002934C8" w:rsidP="004171B1">
      <w:pPr>
        <w:spacing w:before="60" w:after="120" w:line="360" w:lineRule="auto"/>
        <w:jc w:val="both"/>
        <w:rPr>
          <w:rFonts w:ascii="Times New Roman" w:hAnsi="Times New Roman" w:cs="Times New Roman"/>
          <w:szCs w:val="20"/>
        </w:rPr>
      </w:pPr>
      <w:r w:rsidRPr="00612B89">
        <w:rPr>
          <w:rFonts w:ascii="Times New Roman" w:hAnsi="Times New Roman" w:cs="Times New Roman"/>
          <w:szCs w:val="20"/>
        </w:rPr>
        <w:t>NB :</w:t>
      </w:r>
      <w:r w:rsidR="00CB1B9B" w:rsidRPr="00612B89">
        <w:rPr>
          <w:rFonts w:ascii="Times New Roman" w:hAnsi="Times New Roman" w:cs="Times New Roman"/>
          <w:szCs w:val="20"/>
        </w:rPr>
        <w:t xml:space="preserve"> </w:t>
      </w:r>
      <w:r w:rsidRPr="00612B89">
        <w:rPr>
          <w:rFonts w:ascii="Times New Roman" w:hAnsi="Times New Roman" w:cs="Times New Roman"/>
          <w:szCs w:val="20"/>
        </w:rPr>
        <w:t>Une des conséquences attendues de l’utilisation de cet outil est le développement</w:t>
      </w:r>
      <w:r w:rsidR="00CB1B9B" w:rsidRPr="00612B89">
        <w:rPr>
          <w:rFonts w:ascii="Times New Roman" w:hAnsi="Times New Roman" w:cs="Times New Roman"/>
          <w:szCs w:val="20"/>
        </w:rPr>
        <w:t xml:space="preserve"> </w:t>
      </w:r>
      <w:r w:rsidRPr="00612B89">
        <w:rPr>
          <w:rFonts w:ascii="Times New Roman" w:hAnsi="Times New Roman" w:cs="Times New Roman"/>
          <w:szCs w:val="20"/>
        </w:rPr>
        <w:t>d’</w:t>
      </w:r>
      <w:r w:rsidR="00CB1B9B" w:rsidRPr="00612B89">
        <w:rPr>
          <w:rFonts w:ascii="Times New Roman" w:hAnsi="Times New Roman" w:cs="Times New Roman"/>
          <w:szCs w:val="20"/>
        </w:rPr>
        <w:t>un territoire bien desservi et construit autour de noyaux denses. En effet, cette « ville des courtes distances » constitue un modèle de développement préconisé par la Commi</w:t>
      </w:r>
      <w:r w:rsidR="00403FEF" w:rsidRPr="00612B89">
        <w:rPr>
          <w:rFonts w:ascii="Times New Roman" w:hAnsi="Times New Roman" w:cs="Times New Roman"/>
          <w:szCs w:val="20"/>
        </w:rPr>
        <w:t xml:space="preserve">ssion Européenne </w:t>
      </w:r>
      <w:r w:rsidR="00CB1B9B" w:rsidRPr="00612B89">
        <w:rPr>
          <w:rFonts w:ascii="Times New Roman" w:hAnsi="Times New Roman" w:cs="Times New Roman"/>
          <w:szCs w:val="20"/>
        </w:rPr>
        <w:t>et vise à introduire l’essentiel des services quotidiens à moins de 800 m</w:t>
      </w:r>
      <w:r w:rsidR="006316A3" w:rsidRPr="00612B89">
        <w:rPr>
          <w:rFonts w:ascii="Times New Roman" w:hAnsi="Times New Roman" w:cs="Times New Roman"/>
          <w:szCs w:val="20"/>
        </w:rPr>
        <w:t>ètres</w:t>
      </w:r>
      <w:r w:rsidR="00CB1B9B" w:rsidRPr="00612B89">
        <w:rPr>
          <w:rFonts w:ascii="Times New Roman" w:hAnsi="Times New Roman" w:cs="Times New Roman"/>
          <w:szCs w:val="20"/>
        </w:rPr>
        <w:t xml:space="preserve"> des logements, des pôles d’échanges ou des parcs relais, et privilégie une accessibilité aux services en avantageant les transports collectifs et en favorisant les circulations douces (vélo, marche) au détriment des déplacements effectués en voiture individuelle.</w:t>
      </w:r>
      <w:r w:rsidR="004D4914" w:rsidRPr="00612B89">
        <w:rPr>
          <w:rFonts w:ascii="Times New Roman" w:hAnsi="Times New Roman" w:cs="Times New Roman"/>
          <w:szCs w:val="20"/>
        </w:rPr>
        <w:t xml:space="preserve"> </w:t>
      </w:r>
      <w:r w:rsidR="001D223D" w:rsidRPr="00612B89">
        <w:rPr>
          <w:rFonts w:ascii="Times New Roman" w:hAnsi="Times New Roman" w:cs="Times New Roman"/>
          <w:szCs w:val="20"/>
        </w:rPr>
        <w:t>A l’avenir</w:t>
      </w:r>
      <w:r w:rsidR="004D4914" w:rsidRPr="00612B89">
        <w:rPr>
          <w:rFonts w:ascii="Times New Roman" w:hAnsi="Times New Roman" w:cs="Times New Roman"/>
          <w:szCs w:val="20"/>
        </w:rPr>
        <w:t xml:space="preserve">, ce modèle pourrait être utilisé dans le cadre de projets nationaux et européens </w:t>
      </w:r>
      <w:r w:rsidR="004D4914" w:rsidRPr="00612B89">
        <w:rPr>
          <w:rFonts w:ascii="Times New Roman" w:hAnsi="Times New Roman" w:cs="Times New Roman"/>
          <w:szCs w:val="20"/>
        </w:rPr>
        <w:lastRenderedPageBreak/>
        <w:t xml:space="preserve">(adaptation de l’outil NEST à l’international, développement d’une version de l’outil adaptée à la rénovation, développement de la base de </w:t>
      </w:r>
      <w:r w:rsidR="00B27B75" w:rsidRPr="00612B89">
        <w:rPr>
          <w:rFonts w:ascii="Times New Roman" w:hAnsi="Times New Roman" w:cs="Times New Roman"/>
          <w:szCs w:val="20"/>
        </w:rPr>
        <w:t>données</w:t>
      </w:r>
      <w:r w:rsidR="004D4914" w:rsidRPr="00612B89">
        <w:rPr>
          <w:rFonts w:ascii="Times New Roman" w:hAnsi="Times New Roman" w:cs="Times New Roman"/>
          <w:szCs w:val="20"/>
        </w:rPr>
        <w:t>, etc.).</w:t>
      </w:r>
    </w:p>
    <w:p w:rsidR="00EC0E63" w:rsidRPr="00BC7988" w:rsidRDefault="00EC0E63" w:rsidP="004171B1">
      <w:pPr>
        <w:spacing w:before="60" w:after="120" w:line="360" w:lineRule="auto"/>
        <w:jc w:val="both"/>
        <w:rPr>
          <w:rFonts w:ascii="Times New Roman" w:hAnsi="Times New Roman" w:cs="Times New Roman"/>
          <w:b/>
          <w:sz w:val="28"/>
          <w:szCs w:val="20"/>
        </w:rPr>
      </w:pPr>
    </w:p>
    <w:p w:rsidR="00EC0E63" w:rsidRPr="00BC7988" w:rsidRDefault="00EC0E63" w:rsidP="00EC0E63">
      <w:pPr>
        <w:spacing w:before="60" w:after="120" w:line="360" w:lineRule="auto"/>
        <w:jc w:val="center"/>
        <w:rPr>
          <w:rFonts w:ascii="Times New Roman" w:hAnsi="Times New Roman" w:cs="Times New Roman"/>
          <w:b/>
          <w:sz w:val="28"/>
          <w:szCs w:val="20"/>
        </w:rPr>
      </w:pPr>
      <w:r w:rsidRPr="00BC7988">
        <w:rPr>
          <w:rFonts w:ascii="Times New Roman" w:hAnsi="Times New Roman" w:cs="Times New Roman"/>
          <w:b/>
          <w:sz w:val="28"/>
          <w:szCs w:val="20"/>
        </w:rPr>
        <w:t>Données</w:t>
      </w:r>
    </w:p>
    <w:p w:rsidR="007E3672" w:rsidRDefault="007E3672" w:rsidP="007E3672">
      <w:pPr>
        <w:spacing w:line="360" w:lineRule="auto"/>
        <w:jc w:val="both"/>
        <w:rPr>
          <w:rFonts w:ascii="Times New Roman" w:hAnsi="Times New Roman" w:cs="Times New Roman"/>
          <w:szCs w:val="36"/>
        </w:rPr>
      </w:pPr>
      <w:r>
        <w:rPr>
          <w:rFonts w:ascii="Times New Roman" w:hAnsi="Times New Roman" w:cs="Times New Roman"/>
          <w:szCs w:val="20"/>
        </w:rPr>
        <w:t xml:space="preserve">D’autres outils permettent de mesurer l’ACV d’une construction ou d’une opération d’aménagement. L’ensemble de ces outils utilisent les mêmes bases de données qui, elles-mêmes trouvent leur data dans les FDES (Fiches de Déclaration Environnementale et Sanitaire). Ces dernières représentent des fiches produits et fournissent des informations sur le produit en lui-même : provenance, production, dimensions, etc. Néanmoins, les plateformes hébergeant ce genre d’information sont particulièrement difficiles d’appropriation et ne présentent aucune application 3D, ni interactive. </w:t>
      </w:r>
    </w:p>
    <w:p w:rsidR="007E3672" w:rsidRDefault="007E3672" w:rsidP="007E3672">
      <w:pPr>
        <w:spacing w:line="360" w:lineRule="auto"/>
        <w:jc w:val="both"/>
        <w:rPr>
          <w:rFonts w:ascii="Times New Roman" w:hAnsi="Times New Roman" w:cs="Times New Roman"/>
          <w:szCs w:val="36"/>
        </w:rPr>
      </w:pPr>
      <w:r>
        <w:rPr>
          <w:rFonts w:ascii="Times New Roman" w:hAnsi="Times New Roman" w:cs="Times New Roman"/>
          <w:szCs w:val="36"/>
        </w:rPr>
        <w:t>L’atout principal de NEST-TERR2 est qu’il permet de consulter les données référencées de construction sur un modèle 3D implanté dans un territoire donné.</w:t>
      </w:r>
    </w:p>
    <w:p w:rsidR="00BC7988" w:rsidRDefault="00EC0E63" w:rsidP="000C1AAE">
      <w:pPr>
        <w:spacing w:line="360" w:lineRule="auto"/>
        <w:jc w:val="both"/>
        <w:rPr>
          <w:rFonts w:ascii="Times New Roman" w:hAnsi="Times New Roman" w:cs="Times New Roman"/>
          <w:szCs w:val="20"/>
        </w:rPr>
      </w:pPr>
      <w:r>
        <w:rPr>
          <w:rFonts w:ascii="Times New Roman" w:hAnsi="Times New Roman" w:cs="Times New Roman"/>
          <w:szCs w:val="20"/>
        </w:rPr>
        <w:t xml:space="preserve">Les </w:t>
      </w:r>
      <w:r w:rsidR="007E3672">
        <w:rPr>
          <w:rFonts w:ascii="Times New Roman" w:hAnsi="Times New Roman" w:cs="Times New Roman"/>
          <w:szCs w:val="20"/>
        </w:rPr>
        <w:t>datas</w:t>
      </w:r>
      <w:r>
        <w:rPr>
          <w:rFonts w:ascii="Times New Roman" w:hAnsi="Times New Roman" w:cs="Times New Roman"/>
          <w:szCs w:val="20"/>
        </w:rPr>
        <w:t xml:space="preserve"> utilisées pour le cas de NEST et NEST-TERR sont issues </w:t>
      </w:r>
      <w:r w:rsidR="008F6611">
        <w:rPr>
          <w:rFonts w:ascii="Times New Roman" w:hAnsi="Times New Roman" w:cs="Times New Roman"/>
          <w:szCs w:val="20"/>
        </w:rPr>
        <w:t xml:space="preserve">de différentes bases de données : NOBATEK/INEF4, ecoinvent, INIES, (échelle OA pour la consommation d’énergie primaire totale et le changement climatique), Invent’Air V2016, ATMO Grand Est 2014 (échelle territoire pour la consommation d’énergie primaire totale et le changement climatique), des données de l’EmS – SIG, source INSEE (part modale des actifs occupés, qualité de la desserte du territoire, mixité fonctionnelle revenu médian par unité de consommation, coût du loyer pour les logements sociaux), et données SIG – LandCover 2012 et Glocover 2009 (étalement urbain).  </w:t>
      </w:r>
      <w:r w:rsidR="007E3672">
        <w:rPr>
          <w:rFonts w:ascii="Times New Roman" w:hAnsi="Times New Roman" w:cs="Times New Roman"/>
          <w:szCs w:val="20"/>
        </w:rPr>
        <w:t>On</w:t>
      </w:r>
      <w:r w:rsidR="00BC7988">
        <w:rPr>
          <w:rFonts w:ascii="Times New Roman" w:hAnsi="Times New Roman" w:cs="Times New Roman"/>
          <w:szCs w:val="20"/>
        </w:rPr>
        <w:t xml:space="preserve"> observe</w:t>
      </w:r>
      <w:r w:rsidR="007E3672">
        <w:rPr>
          <w:rFonts w:ascii="Times New Roman" w:hAnsi="Times New Roman" w:cs="Times New Roman"/>
          <w:szCs w:val="20"/>
        </w:rPr>
        <w:t>, de ce fait,</w:t>
      </w:r>
      <w:r w:rsidR="00BC7988">
        <w:rPr>
          <w:rFonts w:ascii="Times New Roman" w:hAnsi="Times New Roman" w:cs="Times New Roman"/>
          <w:szCs w:val="20"/>
        </w:rPr>
        <w:t xml:space="preserve"> l’attachement de l’outil au territoi</w:t>
      </w:r>
      <w:r w:rsidR="007E3672">
        <w:rPr>
          <w:rFonts w:ascii="Times New Roman" w:hAnsi="Times New Roman" w:cs="Times New Roman"/>
          <w:szCs w:val="20"/>
        </w:rPr>
        <w:t>re métropolitain strasbourgeois.</w:t>
      </w:r>
    </w:p>
    <w:p w:rsidR="008F6611" w:rsidRDefault="008F6611" w:rsidP="000C1AAE">
      <w:pPr>
        <w:spacing w:line="360" w:lineRule="auto"/>
        <w:jc w:val="both"/>
        <w:rPr>
          <w:rFonts w:ascii="Times New Roman" w:hAnsi="Times New Roman" w:cs="Times New Roman"/>
          <w:szCs w:val="36"/>
        </w:rPr>
      </w:pPr>
    </w:p>
    <w:p w:rsidR="008F6611" w:rsidRPr="0066555A" w:rsidRDefault="008F6611" w:rsidP="008F6611">
      <w:pPr>
        <w:spacing w:before="60" w:after="120" w:line="360" w:lineRule="auto"/>
        <w:jc w:val="center"/>
        <w:rPr>
          <w:rFonts w:ascii="Times New Roman" w:hAnsi="Times New Roman" w:cs="Times New Roman"/>
          <w:b/>
          <w:sz w:val="28"/>
          <w:szCs w:val="20"/>
        </w:rPr>
      </w:pPr>
      <w:r w:rsidRPr="0066555A">
        <w:rPr>
          <w:rFonts w:ascii="Times New Roman" w:hAnsi="Times New Roman" w:cs="Times New Roman"/>
          <w:b/>
          <w:sz w:val="28"/>
          <w:szCs w:val="20"/>
        </w:rPr>
        <w:t>Un ACV actuel contre-productif</w:t>
      </w:r>
    </w:p>
    <w:p w:rsidR="008F6611" w:rsidRPr="00A41C1A" w:rsidRDefault="00A41C1A" w:rsidP="003619EE">
      <w:pPr>
        <w:spacing w:line="360" w:lineRule="auto"/>
        <w:jc w:val="both"/>
        <w:rPr>
          <w:rFonts w:ascii="Times New Roman" w:hAnsi="Times New Roman" w:cs="Times New Roman"/>
          <w:szCs w:val="20"/>
        </w:rPr>
      </w:pPr>
      <w:r w:rsidRPr="00A41C1A">
        <w:rPr>
          <w:rFonts w:ascii="Times New Roman" w:hAnsi="Times New Roman" w:cs="Times New Roman"/>
          <w:szCs w:val="20"/>
        </w:rPr>
        <w:t xml:space="preserve">L'outil devra résoudre des problèmes rendant actuellement les ACV contre productives, telles que la difficulté voire l'impossibilité d'obtenir certaines données, pouvant fausser l'exactitude de certains indicateurs, voire empêcher la mise en lumière de certains transferts d'impacts. La question du moment d'entrée de l'outil dans le phasage du projet est également problématique, celui-ci intervenant habituellement après le permis de construire, ne permettant donc pas d'utiliser l'ACV comme une aide à la prise de décision avant la sélection du projet pour les maîtres d’ouvrage. En intervenant en amont de la sélection et même de la conception du projet, NEST TERR devrait idéalement donc être un outil non seulement d'aide à la décision pour les élus en permettant de comparer différentes orientations de planification urbaine, mais aussi un outil de fabrication, permettant aux concepteurs, architectes, urbanistes, de prendre en compte tous les paramètres nécessaires. Actuellement à l'étude sur le territoire de l'Eurométropole de Strasbourg, l'objectif est d'en faire un outil adapté à l'analyse de cycle de vies </w:t>
      </w:r>
      <w:r w:rsidRPr="00A41C1A">
        <w:rPr>
          <w:rFonts w:ascii="Times New Roman" w:hAnsi="Times New Roman" w:cs="Times New Roman"/>
          <w:szCs w:val="20"/>
        </w:rPr>
        <w:lastRenderedPageBreak/>
        <w:t>d'autres territoires. L'ACV idéal devrait être exhaustif et multi scalaire dans ses indicateurs afin de prendre en compte un maximum de paramètres et d'anticiper au mieux l’impact des OA. Les différents indicateurs pourront être pondérés, l'objectif n'étant pas de trouver une solution ultime et optimale selon tous les indicateurs, mais de sélectionner l'option offrant le meilleur mix de performances selon des critères que l'on fixera comme plus ou moins déterminants. Une alternative pourrait consister à ne pas pondérer les indicateurs afin de faire émerger un front de pareto (ensemble de solutions les plus pertinentes dans le cadre d'une analyse multi critères) parmis lequel sélectionner l'opération à réaliser, en fonction des critères qu'on choisit comme prédominants dans un cas précis. L'aspect multi scalaire est nécessaire afin de prendre en compte les impacts à des échelles dépassant celles de l'opération elle-même, tels que ceux sur la qualité de l'air à l'échelle de la ville, ou encore ceux sur l'économie régionale ou nationale qu'aura l'extraction et la mise en forme des matériaux. Cette approche permettra de recouper les domaines du BIM (Building Information Model), du CIM (City Information Model) et TIM (Territory Information Model) traitant des données différentes (les mobilités ne sont pas les mêmes à l'échelle du quartier et du territoire par exemple) mais pouvant être interdépendantes.</w:t>
      </w:r>
    </w:p>
    <w:p w:rsidR="008F6611" w:rsidRPr="0066555A" w:rsidRDefault="008F6611" w:rsidP="008F6611">
      <w:pPr>
        <w:spacing w:before="60" w:after="120" w:line="360" w:lineRule="auto"/>
        <w:jc w:val="center"/>
        <w:rPr>
          <w:rFonts w:ascii="Times New Roman" w:hAnsi="Times New Roman" w:cs="Times New Roman"/>
          <w:b/>
          <w:sz w:val="28"/>
          <w:szCs w:val="20"/>
        </w:rPr>
      </w:pPr>
      <w:r w:rsidRPr="0066555A">
        <w:rPr>
          <w:rFonts w:ascii="Times New Roman" w:hAnsi="Times New Roman" w:cs="Times New Roman"/>
          <w:b/>
          <w:sz w:val="28"/>
          <w:szCs w:val="20"/>
        </w:rPr>
        <w:t>Ouverture</w:t>
      </w:r>
    </w:p>
    <w:p w:rsidR="00EC0E63" w:rsidRPr="00EC0E63" w:rsidRDefault="00EC0E63" w:rsidP="003619EE">
      <w:pPr>
        <w:spacing w:line="360" w:lineRule="auto"/>
        <w:jc w:val="both"/>
        <w:rPr>
          <w:rFonts w:ascii="Times New Roman" w:hAnsi="Times New Roman" w:cs="Times New Roman"/>
          <w:szCs w:val="36"/>
        </w:rPr>
      </w:pPr>
      <w:r w:rsidRPr="00EC0E63">
        <w:rPr>
          <w:rFonts w:ascii="Times New Roman" w:hAnsi="Times New Roman" w:cs="Times New Roman"/>
          <w:szCs w:val="36"/>
        </w:rPr>
        <w:t>La plateforme NEST TERR vise à prendre en compte un maximum d'indicateurs pondérés sur des thèmes diversifiés comprenant énergie, environnement, transport, qualité de vie, biodiversité, jusqu'à un indicateur du "bonheur" apporté par l'opération, reflétant la satisfaction. Si l’on se basait sur l’équation du bonheur, cela équivaudrait à calculer un ratio entre ce qui était attendu avec ce qui est réel : expected/reality. Cela se traduit donc par une enquête avant OA, par exemple, un cahier d’espérances. On pourrait également assimiler cet indicateur à l’indice de Bonheur National Brut (BNB), pour mesurer le degré de bien être des habitants. Cet indicateur peut être l'objectif final, qui reposerait donc sur le développement économique et social, durable et équitable, la préservation et la</w:t>
      </w:r>
      <w:bookmarkStart w:id="0" w:name="_GoBack"/>
      <w:bookmarkEnd w:id="0"/>
      <w:r w:rsidRPr="00EC0E63">
        <w:rPr>
          <w:rFonts w:ascii="Times New Roman" w:hAnsi="Times New Roman" w:cs="Times New Roman"/>
          <w:szCs w:val="36"/>
        </w:rPr>
        <w:t xml:space="preserve"> promotion des traditions culturelles, la sauvegarde de l’environnement, et une bonne gouvernance.</w:t>
      </w:r>
    </w:p>
    <w:sectPr w:rsidR="00EC0E63" w:rsidRPr="00EC0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ED" w:rsidRDefault="00FE77ED" w:rsidP="00260A3A">
      <w:pPr>
        <w:spacing w:after="0" w:line="240" w:lineRule="auto"/>
      </w:pPr>
      <w:r>
        <w:separator/>
      </w:r>
    </w:p>
  </w:endnote>
  <w:endnote w:type="continuationSeparator" w:id="0">
    <w:p w:rsidR="00FE77ED" w:rsidRDefault="00FE77ED" w:rsidP="0026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ED" w:rsidRDefault="00FE77ED" w:rsidP="00260A3A">
      <w:pPr>
        <w:spacing w:after="0" w:line="240" w:lineRule="auto"/>
      </w:pPr>
      <w:r>
        <w:separator/>
      </w:r>
    </w:p>
  </w:footnote>
  <w:footnote w:type="continuationSeparator" w:id="0">
    <w:p w:rsidR="00FE77ED" w:rsidRDefault="00FE77ED" w:rsidP="00260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49D"/>
    <w:multiLevelType w:val="multilevel"/>
    <w:tmpl w:val="E92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36722"/>
    <w:multiLevelType w:val="multilevel"/>
    <w:tmpl w:val="A6D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A31DB"/>
    <w:multiLevelType w:val="multilevel"/>
    <w:tmpl w:val="4CEED12A"/>
    <w:lvl w:ilvl="0">
      <w:start w:val="1"/>
      <w:numFmt w:val="bullet"/>
      <w:lvlText w:val=""/>
      <w:lvlJc w:val="left"/>
      <w:pPr>
        <w:ind w:left="357" w:hanging="357"/>
      </w:pPr>
      <w:rPr>
        <w:rFonts w:ascii="Wingdings" w:hAnsi="Wingdings" w:hint="default"/>
        <w:b w:val="0"/>
        <w:bCs w:val="0"/>
        <w:i w:val="0"/>
        <w:iCs w:val="0"/>
        <w:caps w:val="0"/>
        <w:smallCaps w:val="0"/>
        <w:strike w:val="0"/>
        <w:dstrike w:val="0"/>
        <w:noProof w:val="0"/>
        <w:vanish w:val="0"/>
        <w:webHidden w:val="0"/>
        <w:color w:val="C0504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 w15:restartNumberingAfterBreak="0">
    <w:nsid w:val="29FF4E73"/>
    <w:multiLevelType w:val="multilevel"/>
    <w:tmpl w:val="782EE508"/>
    <w:lvl w:ilvl="0">
      <w:start w:val="1"/>
      <w:numFmt w:val="bullet"/>
      <w:lvlText w:val=""/>
      <w:lvlJc w:val="left"/>
      <w:pPr>
        <w:ind w:left="357" w:hanging="357"/>
      </w:pPr>
      <w:rPr>
        <w:rFonts w:ascii="Symbol" w:hAnsi="Symbo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4" w15:restartNumberingAfterBreak="0">
    <w:nsid w:val="416468B6"/>
    <w:multiLevelType w:val="hybridMultilevel"/>
    <w:tmpl w:val="B066A5D2"/>
    <w:lvl w:ilvl="0" w:tplc="FFFFFFFF">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1529B"/>
    <w:multiLevelType w:val="hybridMultilevel"/>
    <w:tmpl w:val="B8B69EB0"/>
    <w:lvl w:ilvl="0" w:tplc="17FA2B2C">
      <w:numFmt w:val="bullet"/>
      <w:lvlText w:val="-"/>
      <w:lvlJc w:val="left"/>
      <w:pPr>
        <w:ind w:left="720" w:hanging="360"/>
      </w:pPr>
      <w:rPr>
        <w:rFonts w:ascii="Adobe Garamond Pro" w:eastAsiaTheme="minorHAnsi" w:hAnsi="Adobe Garamon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CF22B2"/>
    <w:multiLevelType w:val="multilevel"/>
    <w:tmpl w:val="7CA41EA6"/>
    <w:lvl w:ilvl="0">
      <w:start w:val="1"/>
      <w:numFmt w:val="bullet"/>
      <w:lvlText w:val=""/>
      <w:lvlJc w:val="left"/>
      <w:pPr>
        <w:ind w:left="357" w:hanging="357"/>
      </w:pPr>
      <w:rPr>
        <w:rFonts w:ascii="Symbol" w:hAnsi="Symbol" w:hint="default"/>
        <w:b w:val="0"/>
        <w:bCs w:val="0"/>
        <w:i w:val="0"/>
        <w:iCs w:val="0"/>
        <w:caps w:val="0"/>
        <w:smallCaps w:val="0"/>
        <w:strike w:val="0"/>
        <w:dstrike w:val="0"/>
        <w:noProof w:val="0"/>
        <w:vanish w:val="0"/>
        <w:webHidden w:val="0"/>
        <w:color w:val="C0504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8A"/>
    <w:rsid w:val="00060BDC"/>
    <w:rsid w:val="00067669"/>
    <w:rsid w:val="000A08A6"/>
    <w:rsid w:val="000A1E6F"/>
    <w:rsid w:val="000C1AAE"/>
    <w:rsid w:val="000C2B32"/>
    <w:rsid w:val="00124ADB"/>
    <w:rsid w:val="00133185"/>
    <w:rsid w:val="00143D59"/>
    <w:rsid w:val="001C0528"/>
    <w:rsid w:val="001D223D"/>
    <w:rsid w:val="00232414"/>
    <w:rsid w:val="00253834"/>
    <w:rsid w:val="00260A3A"/>
    <w:rsid w:val="002934C8"/>
    <w:rsid w:val="00296363"/>
    <w:rsid w:val="002C20F3"/>
    <w:rsid w:val="002C5919"/>
    <w:rsid w:val="00305C2C"/>
    <w:rsid w:val="0030681E"/>
    <w:rsid w:val="003619EE"/>
    <w:rsid w:val="00387E95"/>
    <w:rsid w:val="003E4776"/>
    <w:rsid w:val="00403FEF"/>
    <w:rsid w:val="004171B1"/>
    <w:rsid w:val="00430499"/>
    <w:rsid w:val="004901E0"/>
    <w:rsid w:val="004A4D4C"/>
    <w:rsid w:val="004D05C4"/>
    <w:rsid w:val="004D4914"/>
    <w:rsid w:val="005509E0"/>
    <w:rsid w:val="005C3910"/>
    <w:rsid w:val="005D0BAD"/>
    <w:rsid w:val="005E596B"/>
    <w:rsid w:val="00602885"/>
    <w:rsid w:val="00612B89"/>
    <w:rsid w:val="006316A3"/>
    <w:rsid w:val="0066555A"/>
    <w:rsid w:val="006C455D"/>
    <w:rsid w:val="007076BD"/>
    <w:rsid w:val="007B30F9"/>
    <w:rsid w:val="007D15CC"/>
    <w:rsid w:val="007E3672"/>
    <w:rsid w:val="0083307F"/>
    <w:rsid w:val="00886DEF"/>
    <w:rsid w:val="0089598A"/>
    <w:rsid w:val="00895F3A"/>
    <w:rsid w:val="008E21D6"/>
    <w:rsid w:val="008F6611"/>
    <w:rsid w:val="00900A6D"/>
    <w:rsid w:val="00982C40"/>
    <w:rsid w:val="009B70EF"/>
    <w:rsid w:val="009C4872"/>
    <w:rsid w:val="009F3481"/>
    <w:rsid w:val="00A20D03"/>
    <w:rsid w:val="00A23844"/>
    <w:rsid w:val="00A41C1A"/>
    <w:rsid w:val="00A751F5"/>
    <w:rsid w:val="00A779EE"/>
    <w:rsid w:val="00AD6ABC"/>
    <w:rsid w:val="00B2482F"/>
    <w:rsid w:val="00B27B75"/>
    <w:rsid w:val="00B716B6"/>
    <w:rsid w:val="00B751E9"/>
    <w:rsid w:val="00B85C0E"/>
    <w:rsid w:val="00BC7988"/>
    <w:rsid w:val="00C37289"/>
    <w:rsid w:val="00C4067F"/>
    <w:rsid w:val="00C5372D"/>
    <w:rsid w:val="00C81E0D"/>
    <w:rsid w:val="00C971FC"/>
    <w:rsid w:val="00CB1B9B"/>
    <w:rsid w:val="00CF6FB6"/>
    <w:rsid w:val="00D33D27"/>
    <w:rsid w:val="00D42849"/>
    <w:rsid w:val="00D7472B"/>
    <w:rsid w:val="00D94E35"/>
    <w:rsid w:val="00DD4FDA"/>
    <w:rsid w:val="00E82DEF"/>
    <w:rsid w:val="00E87B8E"/>
    <w:rsid w:val="00EB335A"/>
    <w:rsid w:val="00EC0E63"/>
    <w:rsid w:val="00ED38B0"/>
    <w:rsid w:val="00ED5E39"/>
    <w:rsid w:val="00F05A08"/>
    <w:rsid w:val="00F46A5B"/>
    <w:rsid w:val="00F52C8B"/>
    <w:rsid w:val="00F90443"/>
    <w:rsid w:val="00FC0DFF"/>
    <w:rsid w:val="00FE74D6"/>
    <w:rsid w:val="00FE77ED"/>
    <w:rsid w:val="00FF6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FBA7F-78C6-49D1-8161-7FF77878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Normal"/>
    <w:link w:val="Titre6Car"/>
    <w:uiPriority w:val="9"/>
    <w:qFormat/>
    <w:rsid w:val="0089598A"/>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89598A"/>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3E4776"/>
    <w:rPr>
      <w:b/>
      <w:bCs/>
    </w:rPr>
  </w:style>
  <w:style w:type="character" w:styleId="Accentuation">
    <w:name w:val="Emphasis"/>
    <w:basedOn w:val="Policepardfaut"/>
    <w:uiPriority w:val="20"/>
    <w:qFormat/>
    <w:rsid w:val="003E4776"/>
    <w:rPr>
      <w:i/>
      <w:iCs/>
    </w:rPr>
  </w:style>
  <w:style w:type="paragraph" w:styleId="Textedebulles">
    <w:name w:val="Balloon Text"/>
    <w:basedOn w:val="Normal"/>
    <w:link w:val="TextedebullesCar"/>
    <w:uiPriority w:val="99"/>
    <w:semiHidden/>
    <w:unhideWhenUsed/>
    <w:rsid w:val="009C4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872"/>
    <w:rPr>
      <w:rFonts w:ascii="Tahoma" w:hAnsi="Tahoma" w:cs="Tahoma"/>
      <w:sz w:val="16"/>
      <w:szCs w:val="16"/>
    </w:rPr>
  </w:style>
  <w:style w:type="paragraph" w:styleId="Paragraphedeliste">
    <w:name w:val="List Paragraph"/>
    <w:aliases w:val="Puces"/>
    <w:basedOn w:val="Normal"/>
    <w:link w:val="ParagraphedelisteCar"/>
    <w:uiPriority w:val="34"/>
    <w:qFormat/>
    <w:rsid w:val="00900A6D"/>
    <w:pPr>
      <w:ind w:left="720"/>
      <w:contextualSpacing/>
    </w:pPr>
  </w:style>
  <w:style w:type="character" w:customStyle="1" w:styleId="ParagraphedelisteCar">
    <w:name w:val="Paragraphe de liste Car"/>
    <w:aliases w:val="Puces Car"/>
    <w:basedOn w:val="Policepardfaut"/>
    <w:link w:val="Paragraphedeliste"/>
    <w:uiPriority w:val="34"/>
    <w:locked/>
    <w:rsid w:val="00CB1B9B"/>
  </w:style>
  <w:style w:type="paragraph" w:styleId="En-tte">
    <w:name w:val="header"/>
    <w:basedOn w:val="Normal"/>
    <w:link w:val="En-tteCar"/>
    <w:uiPriority w:val="99"/>
    <w:unhideWhenUsed/>
    <w:rsid w:val="00260A3A"/>
    <w:pPr>
      <w:tabs>
        <w:tab w:val="center" w:pos="4536"/>
        <w:tab w:val="right" w:pos="9072"/>
      </w:tabs>
      <w:spacing w:after="0" w:line="240" w:lineRule="auto"/>
    </w:pPr>
  </w:style>
  <w:style w:type="character" w:customStyle="1" w:styleId="En-tteCar">
    <w:name w:val="En-tête Car"/>
    <w:basedOn w:val="Policepardfaut"/>
    <w:link w:val="En-tte"/>
    <w:uiPriority w:val="99"/>
    <w:rsid w:val="00260A3A"/>
  </w:style>
  <w:style w:type="paragraph" w:styleId="Pieddepage">
    <w:name w:val="footer"/>
    <w:basedOn w:val="Normal"/>
    <w:link w:val="PieddepageCar"/>
    <w:uiPriority w:val="99"/>
    <w:unhideWhenUsed/>
    <w:rsid w:val="00260A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A3A"/>
  </w:style>
  <w:style w:type="paragraph" w:styleId="NormalWeb">
    <w:name w:val="Normal (Web)"/>
    <w:basedOn w:val="Normal"/>
    <w:uiPriority w:val="99"/>
    <w:semiHidden/>
    <w:unhideWhenUsed/>
    <w:rsid w:val="00DD4F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4FDA"/>
    <w:rPr>
      <w:color w:val="0000FF"/>
      <w:u w:val="single"/>
    </w:rPr>
  </w:style>
  <w:style w:type="character" w:customStyle="1" w:styleId="citation">
    <w:name w:val="citation"/>
    <w:basedOn w:val="Policepardfaut"/>
    <w:rsid w:val="0030681E"/>
  </w:style>
  <w:style w:type="character" w:customStyle="1" w:styleId="3oh-">
    <w:name w:val="_3oh-"/>
    <w:basedOn w:val="Policepardfaut"/>
    <w:rsid w:val="007B30F9"/>
  </w:style>
  <w:style w:type="character" w:customStyle="1" w:styleId="5yl5">
    <w:name w:val="_5yl5"/>
    <w:basedOn w:val="Policepardfaut"/>
    <w:rsid w:val="00A4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4138">
      <w:bodyDiv w:val="1"/>
      <w:marLeft w:val="0"/>
      <w:marRight w:val="0"/>
      <w:marTop w:val="0"/>
      <w:marBottom w:val="0"/>
      <w:divBdr>
        <w:top w:val="none" w:sz="0" w:space="0" w:color="auto"/>
        <w:left w:val="none" w:sz="0" w:space="0" w:color="auto"/>
        <w:bottom w:val="none" w:sz="0" w:space="0" w:color="auto"/>
        <w:right w:val="none" w:sz="0" w:space="0" w:color="auto"/>
      </w:divBdr>
    </w:div>
    <w:div w:id="137185089">
      <w:bodyDiv w:val="1"/>
      <w:marLeft w:val="0"/>
      <w:marRight w:val="0"/>
      <w:marTop w:val="0"/>
      <w:marBottom w:val="0"/>
      <w:divBdr>
        <w:top w:val="none" w:sz="0" w:space="0" w:color="auto"/>
        <w:left w:val="none" w:sz="0" w:space="0" w:color="auto"/>
        <w:bottom w:val="none" w:sz="0" w:space="0" w:color="auto"/>
        <w:right w:val="none" w:sz="0" w:space="0" w:color="auto"/>
      </w:divBdr>
      <w:divsChild>
        <w:div w:id="1345401619">
          <w:marLeft w:val="0"/>
          <w:marRight w:val="0"/>
          <w:marTop w:val="0"/>
          <w:marBottom w:val="0"/>
          <w:divBdr>
            <w:top w:val="none" w:sz="0" w:space="0" w:color="auto"/>
            <w:left w:val="none" w:sz="0" w:space="0" w:color="auto"/>
            <w:bottom w:val="none" w:sz="0" w:space="0" w:color="auto"/>
            <w:right w:val="none" w:sz="0" w:space="0" w:color="auto"/>
          </w:divBdr>
        </w:div>
        <w:div w:id="2077507688">
          <w:marLeft w:val="0"/>
          <w:marRight w:val="0"/>
          <w:marTop w:val="0"/>
          <w:marBottom w:val="0"/>
          <w:divBdr>
            <w:top w:val="none" w:sz="0" w:space="0" w:color="auto"/>
            <w:left w:val="none" w:sz="0" w:space="0" w:color="auto"/>
            <w:bottom w:val="none" w:sz="0" w:space="0" w:color="auto"/>
            <w:right w:val="none" w:sz="0" w:space="0" w:color="auto"/>
          </w:divBdr>
        </w:div>
        <w:div w:id="1905871766">
          <w:marLeft w:val="0"/>
          <w:marRight w:val="0"/>
          <w:marTop w:val="0"/>
          <w:marBottom w:val="0"/>
          <w:divBdr>
            <w:top w:val="none" w:sz="0" w:space="0" w:color="auto"/>
            <w:left w:val="none" w:sz="0" w:space="0" w:color="auto"/>
            <w:bottom w:val="none" w:sz="0" w:space="0" w:color="auto"/>
            <w:right w:val="none" w:sz="0" w:space="0" w:color="auto"/>
          </w:divBdr>
        </w:div>
        <w:div w:id="1347826657">
          <w:marLeft w:val="0"/>
          <w:marRight w:val="0"/>
          <w:marTop w:val="0"/>
          <w:marBottom w:val="0"/>
          <w:divBdr>
            <w:top w:val="none" w:sz="0" w:space="0" w:color="auto"/>
            <w:left w:val="none" w:sz="0" w:space="0" w:color="auto"/>
            <w:bottom w:val="none" w:sz="0" w:space="0" w:color="auto"/>
            <w:right w:val="none" w:sz="0" w:space="0" w:color="auto"/>
          </w:divBdr>
        </w:div>
        <w:div w:id="1228881707">
          <w:marLeft w:val="0"/>
          <w:marRight w:val="0"/>
          <w:marTop w:val="0"/>
          <w:marBottom w:val="0"/>
          <w:divBdr>
            <w:top w:val="none" w:sz="0" w:space="0" w:color="auto"/>
            <w:left w:val="none" w:sz="0" w:space="0" w:color="auto"/>
            <w:bottom w:val="none" w:sz="0" w:space="0" w:color="auto"/>
            <w:right w:val="none" w:sz="0" w:space="0" w:color="auto"/>
          </w:divBdr>
        </w:div>
        <w:div w:id="1630936832">
          <w:marLeft w:val="0"/>
          <w:marRight w:val="0"/>
          <w:marTop w:val="0"/>
          <w:marBottom w:val="0"/>
          <w:divBdr>
            <w:top w:val="none" w:sz="0" w:space="0" w:color="auto"/>
            <w:left w:val="none" w:sz="0" w:space="0" w:color="auto"/>
            <w:bottom w:val="none" w:sz="0" w:space="0" w:color="auto"/>
            <w:right w:val="none" w:sz="0" w:space="0" w:color="auto"/>
          </w:divBdr>
        </w:div>
        <w:div w:id="1171213272">
          <w:marLeft w:val="0"/>
          <w:marRight w:val="0"/>
          <w:marTop w:val="0"/>
          <w:marBottom w:val="0"/>
          <w:divBdr>
            <w:top w:val="none" w:sz="0" w:space="0" w:color="auto"/>
            <w:left w:val="none" w:sz="0" w:space="0" w:color="auto"/>
            <w:bottom w:val="none" w:sz="0" w:space="0" w:color="auto"/>
            <w:right w:val="none" w:sz="0" w:space="0" w:color="auto"/>
          </w:divBdr>
        </w:div>
        <w:div w:id="911738409">
          <w:marLeft w:val="0"/>
          <w:marRight w:val="0"/>
          <w:marTop w:val="0"/>
          <w:marBottom w:val="0"/>
          <w:divBdr>
            <w:top w:val="none" w:sz="0" w:space="0" w:color="auto"/>
            <w:left w:val="none" w:sz="0" w:space="0" w:color="auto"/>
            <w:bottom w:val="none" w:sz="0" w:space="0" w:color="auto"/>
            <w:right w:val="none" w:sz="0" w:space="0" w:color="auto"/>
          </w:divBdr>
        </w:div>
        <w:div w:id="1478493886">
          <w:marLeft w:val="0"/>
          <w:marRight w:val="0"/>
          <w:marTop w:val="0"/>
          <w:marBottom w:val="0"/>
          <w:divBdr>
            <w:top w:val="none" w:sz="0" w:space="0" w:color="auto"/>
            <w:left w:val="none" w:sz="0" w:space="0" w:color="auto"/>
            <w:bottom w:val="none" w:sz="0" w:space="0" w:color="auto"/>
            <w:right w:val="none" w:sz="0" w:space="0" w:color="auto"/>
          </w:divBdr>
        </w:div>
        <w:div w:id="928388006">
          <w:marLeft w:val="0"/>
          <w:marRight w:val="0"/>
          <w:marTop w:val="0"/>
          <w:marBottom w:val="0"/>
          <w:divBdr>
            <w:top w:val="none" w:sz="0" w:space="0" w:color="auto"/>
            <w:left w:val="none" w:sz="0" w:space="0" w:color="auto"/>
            <w:bottom w:val="none" w:sz="0" w:space="0" w:color="auto"/>
            <w:right w:val="none" w:sz="0" w:space="0" w:color="auto"/>
          </w:divBdr>
        </w:div>
        <w:div w:id="1288585895">
          <w:marLeft w:val="0"/>
          <w:marRight w:val="0"/>
          <w:marTop w:val="0"/>
          <w:marBottom w:val="0"/>
          <w:divBdr>
            <w:top w:val="none" w:sz="0" w:space="0" w:color="auto"/>
            <w:left w:val="none" w:sz="0" w:space="0" w:color="auto"/>
            <w:bottom w:val="none" w:sz="0" w:space="0" w:color="auto"/>
            <w:right w:val="none" w:sz="0" w:space="0" w:color="auto"/>
          </w:divBdr>
        </w:div>
        <w:div w:id="410349030">
          <w:marLeft w:val="0"/>
          <w:marRight w:val="0"/>
          <w:marTop w:val="0"/>
          <w:marBottom w:val="0"/>
          <w:divBdr>
            <w:top w:val="none" w:sz="0" w:space="0" w:color="auto"/>
            <w:left w:val="none" w:sz="0" w:space="0" w:color="auto"/>
            <w:bottom w:val="none" w:sz="0" w:space="0" w:color="auto"/>
            <w:right w:val="none" w:sz="0" w:space="0" w:color="auto"/>
          </w:divBdr>
        </w:div>
        <w:div w:id="1210074510">
          <w:marLeft w:val="0"/>
          <w:marRight w:val="0"/>
          <w:marTop w:val="0"/>
          <w:marBottom w:val="0"/>
          <w:divBdr>
            <w:top w:val="none" w:sz="0" w:space="0" w:color="auto"/>
            <w:left w:val="none" w:sz="0" w:space="0" w:color="auto"/>
            <w:bottom w:val="none" w:sz="0" w:space="0" w:color="auto"/>
            <w:right w:val="none" w:sz="0" w:space="0" w:color="auto"/>
          </w:divBdr>
        </w:div>
        <w:div w:id="2038003882">
          <w:marLeft w:val="0"/>
          <w:marRight w:val="0"/>
          <w:marTop w:val="0"/>
          <w:marBottom w:val="0"/>
          <w:divBdr>
            <w:top w:val="none" w:sz="0" w:space="0" w:color="auto"/>
            <w:left w:val="none" w:sz="0" w:space="0" w:color="auto"/>
            <w:bottom w:val="none" w:sz="0" w:space="0" w:color="auto"/>
            <w:right w:val="none" w:sz="0" w:space="0" w:color="auto"/>
          </w:divBdr>
        </w:div>
        <w:div w:id="1023285051">
          <w:marLeft w:val="0"/>
          <w:marRight w:val="0"/>
          <w:marTop w:val="0"/>
          <w:marBottom w:val="0"/>
          <w:divBdr>
            <w:top w:val="none" w:sz="0" w:space="0" w:color="auto"/>
            <w:left w:val="none" w:sz="0" w:space="0" w:color="auto"/>
            <w:bottom w:val="none" w:sz="0" w:space="0" w:color="auto"/>
            <w:right w:val="none" w:sz="0" w:space="0" w:color="auto"/>
          </w:divBdr>
        </w:div>
        <w:div w:id="1061250262">
          <w:marLeft w:val="0"/>
          <w:marRight w:val="0"/>
          <w:marTop w:val="0"/>
          <w:marBottom w:val="0"/>
          <w:divBdr>
            <w:top w:val="none" w:sz="0" w:space="0" w:color="auto"/>
            <w:left w:val="none" w:sz="0" w:space="0" w:color="auto"/>
            <w:bottom w:val="none" w:sz="0" w:space="0" w:color="auto"/>
            <w:right w:val="none" w:sz="0" w:space="0" w:color="auto"/>
          </w:divBdr>
        </w:div>
        <w:div w:id="2119830786">
          <w:marLeft w:val="0"/>
          <w:marRight w:val="0"/>
          <w:marTop w:val="0"/>
          <w:marBottom w:val="0"/>
          <w:divBdr>
            <w:top w:val="none" w:sz="0" w:space="0" w:color="auto"/>
            <w:left w:val="none" w:sz="0" w:space="0" w:color="auto"/>
            <w:bottom w:val="none" w:sz="0" w:space="0" w:color="auto"/>
            <w:right w:val="none" w:sz="0" w:space="0" w:color="auto"/>
          </w:divBdr>
        </w:div>
      </w:divsChild>
    </w:div>
    <w:div w:id="219901179">
      <w:bodyDiv w:val="1"/>
      <w:marLeft w:val="0"/>
      <w:marRight w:val="0"/>
      <w:marTop w:val="0"/>
      <w:marBottom w:val="0"/>
      <w:divBdr>
        <w:top w:val="none" w:sz="0" w:space="0" w:color="auto"/>
        <w:left w:val="none" w:sz="0" w:space="0" w:color="auto"/>
        <w:bottom w:val="none" w:sz="0" w:space="0" w:color="auto"/>
        <w:right w:val="none" w:sz="0" w:space="0" w:color="auto"/>
      </w:divBdr>
      <w:divsChild>
        <w:div w:id="1173103249">
          <w:marLeft w:val="0"/>
          <w:marRight w:val="0"/>
          <w:marTop w:val="0"/>
          <w:marBottom w:val="0"/>
          <w:divBdr>
            <w:top w:val="none" w:sz="0" w:space="0" w:color="auto"/>
            <w:left w:val="none" w:sz="0" w:space="0" w:color="auto"/>
            <w:bottom w:val="none" w:sz="0" w:space="0" w:color="auto"/>
            <w:right w:val="none" w:sz="0" w:space="0" w:color="auto"/>
          </w:divBdr>
        </w:div>
        <w:div w:id="785395467">
          <w:marLeft w:val="0"/>
          <w:marRight w:val="0"/>
          <w:marTop w:val="0"/>
          <w:marBottom w:val="0"/>
          <w:divBdr>
            <w:top w:val="none" w:sz="0" w:space="0" w:color="auto"/>
            <w:left w:val="none" w:sz="0" w:space="0" w:color="auto"/>
            <w:bottom w:val="none" w:sz="0" w:space="0" w:color="auto"/>
            <w:right w:val="none" w:sz="0" w:space="0" w:color="auto"/>
          </w:divBdr>
        </w:div>
        <w:div w:id="1234311290">
          <w:marLeft w:val="0"/>
          <w:marRight w:val="0"/>
          <w:marTop w:val="0"/>
          <w:marBottom w:val="0"/>
          <w:divBdr>
            <w:top w:val="none" w:sz="0" w:space="0" w:color="auto"/>
            <w:left w:val="none" w:sz="0" w:space="0" w:color="auto"/>
            <w:bottom w:val="none" w:sz="0" w:space="0" w:color="auto"/>
            <w:right w:val="none" w:sz="0" w:space="0" w:color="auto"/>
          </w:divBdr>
        </w:div>
        <w:div w:id="414211125">
          <w:marLeft w:val="0"/>
          <w:marRight w:val="0"/>
          <w:marTop w:val="0"/>
          <w:marBottom w:val="0"/>
          <w:divBdr>
            <w:top w:val="none" w:sz="0" w:space="0" w:color="auto"/>
            <w:left w:val="none" w:sz="0" w:space="0" w:color="auto"/>
            <w:bottom w:val="none" w:sz="0" w:space="0" w:color="auto"/>
            <w:right w:val="none" w:sz="0" w:space="0" w:color="auto"/>
          </w:divBdr>
        </w:div>
        <w:div w:id="203715785">
          <w:marLeft w:val="0"/>
          <w:marRight w:val="0"/>
          <w:marTop w:val="0"/>
          <w:marBottom w:val="0"/>
          <w:divBdr>
            <w:top w:val="none" w:sz="0" w:space="0" w:color="auto"/>
            <w:left w:val="none" w:sz="0" w:space="0" w:color="auto"/>
            <w:bottom w:val="none" w:sz="0" w:space="0" w:color="auto"/>
            <w:right w:val="none" w:sz="0" w:space="0" w:color="auto"/>
          </w:divBdr>
        </w:div>
        <w:div w:id="1996062370">
          <w:marLeft w:val="0"/>
          <w:marRight w:val="0"/>
          <w:marTop w:val="0"/>
          <w:marBottom w:val="0"/>
          <w:divBdr>
            <w:top w:val="none" w:sz="0" w:space="0" w:color="auto"/>
            <w:left w:val="none" w:sz="0" w:space="0" w:color="auto"/>
            <w:bottom w:val="none" w:sz="0" w:space="0" w:color="auto"/>
            <w:right w:val="none" w:sz="0" w:space="0" w:color="auto"/>
          </w:divBdr>
        </w:div>
        <w:div w:id="993028574">
          <w:marLeft w:val="0"/>
          <w:marRight w:val="0"/>
          <w:marTop w:val="0"/>
          <w:marBottom w:val="0"/>
          <w:divBdr>
            <w:top w:val="none" w:sz="0" w:space="0" w:color="auto"/>
            <w:left w:val="none" w:sz="0" w:space="0" w:color="auto"/>
            <w:bottom w:val="none" w:sz="0" w:space="0" w:color="auto"/>
            <w:right w:val="none" w:sz="0" w:space="0" w:color="auto"/>
          </w:divBdr>
        </w:div>
        <w:div w:id="585724750">
          <w:marLeft w:val="0"/>
          <w:marRight w:val="0"/>
          <w:marTop w:val="0"/>
          <w:marBottom w:val="0"/>
          <w:divBdr>
            <w:top w:val="none" w:sz="0" w:space="0" w:color="auto"/>
            <w:left w:val="none" w:sz="0" w:space="0" w:color="auto"/>
            <w:bottom w:val="none" w:sz="0" w:space="0" w:color="auto"/>
            <w:right w:val="none" w:sz="0" w:space="0" w:color="auto"/>
          </w:divBdr>
        </w:div>
        <w:div w:id="635261008">
          <w:marLeft w:val="0"/>
          <w:marRight w:val="0"/>
          <w:marTop w:val="0"/>
          <w:marBottom w:val="0"/>
          <w:divBdr>
            <w:top w:val="none" w:sz="0" w:space="0" w:color="auto"/>
            <w:left w:val="none" w:sz="0" w:space="0" w:color="auto"/>
            <w:bottom w:val="none" w:sz="0" w:space="0" w:color="auto"/>
            <w:right w:val="none" w:sz="0" w:space="0" w:color="auto"/>
          </w:divBdr>
        </w:div>
        <w:div w:id="973219607">
          <w:marLeft w:val="0"/>
          <w:marRight w:val="0"/>
          <w:marTop w:val="0"/>
          <w:marBottom w:val="0"/>
          <w:divBdr>
            <w:top w:val="none" w:sz="0" w:space="0" w:color="auto"/>
            <w:left w:val="none" w:sz="0" w:space="0" w:color="auto"/>
            <w:bottom w:val="none" w:sz="0" w:space="0" w:color="auto"/>
            <w:right w:val="none" w:sz="0" w:space="0" w:color="auto"/>
          </w:divBdr>
        </w:div>
        <w:div w:id="891422265">
          <w:marLeft w:val="0"/>
          <w:marRight w:val="0"/>
          <w:marTop w:val="0"/>
          <w:marBottom w:val="0"/>
          <w:divBdr>
            <w:top w:val="none" w:sz="0" w:space="0" w:color="auto"/>
            <w:left w:val="none" w:sz="0" w:space="0" w:color="auto"/>
            <w:bottom w:val="none" w:sz="0" w:space="0" w:color="auto"/>
            <w:right w:val="none" w:sz="0" w:space="0" w:color="auto"/>
          </w:divBdr>
        </w:div>
        <w:div w:id="806825080">
          <w:marLeft w:val="0"/>
          <w:marRight w:val="0"/>
          <w:marTop w:val="0"/>
          <w:marBottom w:val="0"/>
          <w:divBdr>
            <w:top w:val="none" w:sz="0" w:space="0" w:color="auto"/>
            <w:left w:val="none" w:sz="0" w:space="0" w:color="auto"/>
            <w:bottom w:val="none" w:sz="0" w:space="0" w:color="auto"/>
            <w:right w:val="none" w:sz="0" w:space="0" w:color="auto"/>
          </w:divBdr>
        </w:div>
        <w:div w:id="431046683">
          <w:marLeft w:val="0"/>
          <w:marRight w:val="0"/>
          <w:marTop w:val="0"/>
          <w:marBottom w:val="0"/>
          <w:divBdr>
            <w:top w:val="none" w:sz="0" w:space="0" w:color="auto"/>
            <w:left w:val="none" w:sz="0" w:space="0" w:color="auto"/>
            <w:bottom w:val="none" w:sz="0" w:space="0" w:color="auto"/>
            <w:right w:val="none" w:sz="0" w:space="0" w:color="auto"/>
          </w:divBdr>
        </w:div>
        <w:div w:id="1631326597">
          <w:marLeft w:val="0"/>
          <w:marRight w:val="0"/>
          <w:marTop w:val="0"/>
          <w:marBottom w:val="0"/>
          <w:divBdr>
            <w:top w:val="none" w:sz="0" w:space="0" w:color="auto"/>
            <w:left w:val="none" w:sz="0" w:space="0" w:color="auto"/>
            <w:bottom w:val="none" w:sz="0" w:space="0" w:color="auto"/>
            <w:right w:val="none" w:sz="0" w:space="0" w:color="auto"/>
          </w:divBdr>
        </w:div>
        <w:div w:id="581641787">
          <w:marLeft w:val="0"/>
          <w:marRight w:val="0"/>
          <w:marTop w:val="0"/>
          <w:marBottom w:val="0"/>
          <w:divBdr>
            <w:top w:val="none" w:sz="0" w:space="0" w:color="auto"/>
            <w:left w:val="none" w:sz="0" w:space="0" w:color="auto"/>
            <w:bottom w:val="none" w:sz="0" w:space="0" w:color="auto"/>
            <w:right w:val="none" w:sz="0" w:space="0" w:color="auto"/>
          </w:divBdr>
        </w:div>
        <w:div w:id="1026952964">
          <w:marLeft w:val="0"/>
          <w:marRight w:val="0"/>
          <w:marTop w:val="0"/>
          <w:marBottom w:val="0"/>
          <w:divBdr>
            <w:top w:val="none" w:sz="0" w:space="0" w:color="auto"/>
            <w:left w:val="none" w:sz="0" w:space="0" w:color="auto"/>
            <w:bottom w:val="none" w:sz="0" w:space="0" w:color="auto"/>
            <w:right w:val="none" w:sz="0" w:space="0" w:color="auto"/>
          </w:divBdr>
        </w:div>
      </w:divsChild>
    </w:div>
    <w:div w:id="438646936">
      <w:bodyDiv w:val="1"/>
      <w:marLeft w:val="0"/>
      <w:marRight w:val="0"/>
      <w:marTop w:val="0"/>
      <w:marBottom w:val="0"/>
      <w:divBdr>
        <w:top w:val="none" w:sz="0" w:space="0" w:color="auto"/>
        <w:left w:val="none" w:sz="0" w:space="0" w:color="auto"/>
        <w:bottom w:val="none" w:sz="0" w:space="0" w:color="auto"/>
        <w:right w:val="none" w:sz="0" w:space="0" w:color="auto"/>
      </w:divBdr>
    </w:div>
    <w:div w:id="1274634843">
      <w:bodyDiv w:val="1"/>
      <w:marLeft w:val="0"/>
      <w:marRight w:val="0"/>
      <w:marTop w:val="0"/>
      <w:marBottom w:val="0"/>
      <w:divBdr>
        <w:top w:val="none" w:sz="0" w:space="0" w:color="auto"/>
        <w:left w:val="none" w:sz="0" w:space="0" w:color="auto"/>
        <w:bottom w:val="none" w:sz="0" w:space="0" w:color="auto"/>
        <w:right w:val="none" w:sz="0" w:space="0" w:color="auto"/>
      </w:divBdr>
    </w:div>
    <w:div w:id="12828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roduit_(%C3%A9conomie)" TargetMode="External"/><Relationship Id="rId13" Type="http://schemas.openxmlformats.org/officeDocument/2006/relationships/hyperlink" Target="http://associationbilancarbone.fr/"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r.wikipedia.org/wiki/Bilan_environnemental" TargetMode="External"/><Relationship Id="rId12" Type="http://schemas.openxmlformats.org/officeDocument/2006/relationships/hyperlink" Target="http://www.ademe.fr/"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Analyse_du_cycle_de_v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wikipedia.org/wiki/Mati%C3%A8res_premi%C3%A8r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fr.wikipedia.org/wiki/Service_(%C3%A9conomie)" TargetMode="External"/><Relationship Id="rId14" Type="http://schemas.openxmlformats.org/officeDocument/2006/relationships/hyperlink" Target="https://e-rse.net/definitions/definition-bilan-carbo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8110B4558E14BBC5DADEF6DC14A70" ma:contentTypeVersion="11" ma:contentTypeDescription="Crée un document." ma:contentTypeScope="" ma:versionID="dc979ca62cbf8046a3b1f1190073ba96">
  <xsd:schema xmlns:xsd="http://www.w3.org/2001/XMLSchema" xmlns:xs="http://www.w3.org/2001/XMLSchema" xmlns:p="http://schemas.microsoft.com/office/2006/metadata/properties" xmlns:ns2="e466cfe7-7581-479b-a038-855005ce4b24" targetNamespace="http://schemas.microsoft.com/office/2006/metadata/properties" ma:root="true" ma:fieldsID="55e0b97e66573fc30b7f6b1c935196b9" ns2:_="">
    <xsd:import namespace="e466cfe7-7581-479b-a038-855005ce4b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cfe7-7581-479b-a038-855005ce4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B0633-DAF1-4A54-97C0-C04BC95AA8A5}"/>
</file>

<file path=customXml/itemProps2.xml><?xml version="1.0" encoding="utf-8"?>
<ds:datastoreItem xmlns:ds="http://schemas.openxmlformats.org/officeDocument/2006/customXml" ds:itemID="{158B4C0B-70C1-4248-84AB-B4BA42AA05AD}"/>
</file>

<file path=customXml/itemProps3.xml><?xml version="1.0" encoding="utf-8"?>
<ds:datastoreItem xmlns:ds="http://schemas.openxmlformats.org/officeDocument/2006/customXml" ds:itemID="{DEC6973B-00AC-4C49-AF0B-A09A6523FDB4}"/>
</file>

<file path=docProps/app.xml><?xml version="1.0" encoding="utf-8"?>
<Properties xmlns="http://schemas.openxmlformats.org/officeDocument/2006/extended-properties" xmlns:vt="http://schemas.openxmlformats.org/officeDocument/2006/docPropsVTypes">
  <Template>Normal</Template>
  <TotalTime>288</TotalTime>
  <Pages>6</Pages>
  <Words>2493</Words>
  <Characters>13714</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balestem</dc:creator>
  <cp:lastModifiedBy>Marion Baleste</cp:lastModifiedBy>
  <cp:revision>53</cp:revision>
  <dcterms:created xsi:type="dcterms:W3CDTF">2018-04-13T09:10:00Z</dcterms:created>
  <dcterms:modified xsi:type="dcterms:W3CDTF">2018-06-14T15:07:00Z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0x010100A708110B4558E14BBC5DADEF6DC14A70</vt:lpwstr>
  </property>
</Properties>
</file>